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CE5E88" w:rsidRDefault="00CE5E88" w:rsidP="0041284B">
      <w:pPr>
        <w:pStyle w:val="NoSpacing"/>
        <w:jc w:val="center"/>
        <w:rPr>
          <w:rFonts w:cstheme="minorHAnsi"/>
          <w:b/>
        </w:rPr>
      </w:pPr>
    </w:p>
    <w:p w:rsidR="00A146F5" w:rsidRDefault="00A146F5" w:rsidP="0041284B">
      <w:pPr>
        <w:pStyle w:val="NoSpacing"/>
        <w:jc w:val="center"/>
        <w:rPr>
          <w:rFonts w:cstheme="minorHAnsi"/>
          <w:b/>
          <w:color w:val="2E74B5" w:themeColor="accent1" w:themeShade="BF"/>
          <w:sz w:val="32"/>
        </w:rPr>
      </w:pPr>
      <w:r w:rsidRPr="00FA3784">
        <w:rPr>
          <w:rFonts w:cstheme="minorHAnsi"/>
          <w:b/>
          <w:color w:val="2E74B5" w:themeColor="accent1" w:themeShade="BF"/>
          <w:sz w:val="32"/>
        </w:rPr>
        <w:t xml:space="preserve">Explanatory Note Summarizing the information on the </w:t>
      </w:r>
      <w:r w:rsidR="00A21683" w:rsidRPr="00FA3784">
        <w:rPr>
          <w:rFonts w:cstheme="minorHAnsi"/>
          <w:b/>
          <w:color w:val="2E74B5" w:themeColor="accent1" w:themeShade="BF"/>
          <w:sz w:val="32"/>
        </w:rPr>
        <w:t xml:space="preserve">Medium-term </w:t>
      </w:r>
      <w:r w:rsidR="00CC0BC7" w:rsidRPr="00FA3784">
        <w:rPr>
          <w:rFonts w:cstheme="minorHAnsi"/>
          <w:b/>
          <w:color w:val="2E74B5" w:themeColor="accent1" w:themeShade="BF"/>
          <w:sz w:val="32"/>
        </w:rPr>
        <w:t>F</w:t>
      </w:r>
      <w:r w:rsidR="00993A61" w:rsidRPr="00FA3784">
        <w:rPr>
          <w:rFonts w:cstheme="minorHAnsi"/>
          <w:b/>
          <w:color w:val="2E74B5" w:themeColor="accent1" w:themeShade="BF"/>
          <w:sz w:val="32"/>
        </w:rPr>
        <w:t xml:space="preserve">orecast Reconciliation </w:t>
      </w:r>
      <w:r w:rsidRPr="00FA3784">
        <w:rPr>
          <w:rFonts w:cstheme="minorHAnsi"/>
          <w:b/>
          <w:color w:val="2E74B5" w:themeColor="accent1" w:themeShade="BF"/>
          <w:sz w:val="32"/>
        </w:rPr>
        <w:t>and New Policy Directions reflected in the 2021 draft State Budget Law Package</w:t>
      </w:r>
    </w:p>
    <w:p w:rsidR="00FA3784" w:rsidRPr="00FA3784" w:rsidRDefault="00FA3784" w:rsidP="0041284B">
      <w:pPr>
        <w:pStyle w:val="NoSpacing"/>
        <w:jc w:val="center"/>
        <w:rPr>
          <w:rFonts w:cstheme="minorHAnsi"/>
          <w:b/>
          <w:color w:val="2E74B5" w:themeColor="accent1" w:themeShade="BF"/>
          <w:sz w:val="32"/>
        </w:rPr>
      </w:pPr>
    </w:p>
    <w:p w:rsidR="00C85296" w:rsidRDefault="00A146F5" w:rsidP="00A146F5">
      <w:pPr>
        <w:spacing w:before="60" w:after="60"/>
        <w:ind w:right="-25"/>
        <w:jc w:val="center"/>
        <w:rPr>
          <w:rFonts w:cstheme="minorHAnsi"/>
          <w:i/>
          <w:sz w:val="20"/>
          <w:szCs w:val="20"/>
          <w:u w:val="single"/>
        </w:rPr>
      </w:pPr>
      <w:r w:rsidRPr="00877C7B">
        <w:rPr>
          <w:rFonts w:cstheme="minorHAnsi"/>
          <w:i/>
          <w:sz w:val="20"/>
          <w:szCs w:val="20"/>
          <w:u w:val="single"/>
        </w:rPr>
        <w:t>(Indicator 1.1.2 – Governance and Accounta</w:t>
      </w:r>
      <w:r w:rsidR="00AF5A8C">
        <w:rPr>
          <w:rFonts w:cstheme="minorHAnsi"/>
          <w:i/>
          <w:sz w:val="20"/>
          <w:szCs w:val="20"/>
          <w:u w:val="single"/>
        </w:rPr>
        <w:t xml:space="preserve">bility in Medium-term Budgeting </w:t>
      </w:r>
      <w:r w:rsidRPr="00877C7B">
        <w:rPr>
          <w:rFonts w:cstheme="minorHAnsi"/>
          <w:i/>
          <w:sz w:val="20"/>
          <w:szCs w:val="20"/>
          <w:u w:val="single"/>
        </w:rPr>
        <w:t>EU 4 Economic Governance and Fiscal Accountability)</w:t>
      </w: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950422" w:rsidRDefault="00950422"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Default="00FA3784" w:rsidP="00A146F5">
      <w:pPr>
        <w:spacing w:before="60" w:after="60"/>
        <w:ind w:right="-25"/>
        <w:jc w:val="center"/>
        <w:rPr>
          <w:rFonts w:cstheme="minorHAnsi"/>
          <w:i/>
          <w:sz w:val="20"/>
          <w:szCs w:val="20"/>
          <w:u w:val="single"/>
        </w:rPr>
      </w:pPr>
    </w:p>
    <w:p w:rsidR="00FA3784" w:rsidRPr="00FA3784" w:rsidRDefault="00FA3784" w:rsidP="00A146F5">
      <w:pPr>
        <w:spacing w:before="60" w:after="60"/>
        <w:ind w:right="-25"/>
        <w:jc w:val="center"/>
        <w:rPr>
          <w:rFonts w:cstheme="minorHAnsi"/>
          <w:sz w:val="20"/>
          <w:szCs w:val="20"/>
          <w:u w:val="single"/>
        </w:rPr>
      </w:pPr>
      <w:r w:rsidRPr="00FA3784">
        <w:rPr>
          <w:rFonts w:cstheme="minorHAnsi"/>
          <w:sz w:val="20"/>
          <w:szCs w:val="20"/>
          <w:u w:val="single"/>
        </w:rPr>
        <w:t>15 December 2020</w:t>
      </w:r>
    </w:p>
    <w:p w:rsidR="00CE5E88" w:rsidRPr="00FA3784" w:rsidRDefault="000B5D76" w:rsidP="000B5D76">
      <w:pPr>
        <w:tabs>
          <w:tab w:val="right" w:pos="9617"/>
        </w:tabs>
        <w:rPr>
          <w:rFonts w:cstheme="minorHAnsi"/>
          <w:sz w:val="20"/>
          <w:szCs w:val="20"/>
          <w:u w:val="single"/>
        </w:rPr>
      </w:pPr>
      <w:r>
        <w:rPr>
          <w:rFonts w:cstheme="minorHAnsi"/>
          <w:sz w:val="20"/>
          <w:szCs w:val="20"/>
          <w:u w:val="single"/>
        </w:rPr>
        <w:tab/>
      </w:r>
    </w:p>
    <w:p w:rsidR="00C11086" w:rsidRPr="00877C7B" w:rsidRDefault="00C11086" w:rsidP="00A146F5">
      <w:pPr>
        <w:spacing w:before="60" w:after="60"/>
        <w:ind w:right="-25"/>
        <w:jc w:val="center"/>
        <w:rPr>
          <w:rFonts w:cstheme="minorHAnsi"/>
          <w:i/>
          <w:sz w:val="20"/>
          <w:szCs w:val="20"/>
          <w:u w:val="single"/>
        </w:rPr>
      </w:pPr>
    </w:p>
    <w:sdt>
      <w:sdtPr>
        <w:rPr>
          <w:rFonts w:asciiTheme="minorHAnsi" w:eastAsiaTheme="minorHAnsi" w:hAnsiTheme="minorHAnsi" w:cstheme="minorHAnsi"/>
          <w:color w:val="auto"/>
          <w:sz w:val="22"/>
          <w:szCs w:val="22"/>
        </w:rPr>
        <w:id w:val="8659438"/>
        <w:docPartObj>
          <w:docPartGallery w:val="Table of Contents"/>
          <w:docPartUnique/>
        </w:docPartObj>
      </w:sdtPr>
      <w:sdtEndPr>
        <w:rPr>
          <w:b/>
          <w:bCs/>
          <w:noProof/>
        </w:rPr>
      </w:sdtEndPr>
      <w:sdtContent>
        <w:p w:rsidR="00C11086" w:rsidRPr="00877C7B" w:rsidRDefault="00C11086">
          <w:pPr>
            <w:pStyle w:val="TOCHeading"/>
            <w:rPr>
              <w:rFonts w:asciiTheme="minorHAnsi" w:hAnsiTheme="minorHAnsi" w:cstheme="minorHAnsi"/>
            </w:rPr>
          </w:pPr>
          <w:r w:rsidRPr="00877C7B">
            <w:rPr>
              <w:rFonts w:asciiTheme="minorHAnsi" w:hAnsiTheme="minorHAnsi" w:cstheme="minorHAnsi"/>
            </w:rPr>
            <w:t>Content</w:t>
          </w:r>
        </w:p>
        <w:p w:rsidR="005E6920" w:rsidRDefault="00C11086">
          <w:pPr>
            <w:pStyle w:val="TOC1"/>
            <w:tabs>
              <w:tab w:val="left" w:pos="440"/>
              <w:tab w:val="right" w:leader="dot" w:pos="9607"/>
            </w:tabs>
            <w:rPr>
              <w:rFonts w:eastAsiaTheme="minorEastAsia"/>
              <w:noProof/>
              <w:lang w:val="en-GB" w:eastAsia="en-GB"/>
            </w:rPr>
          </w:pPr>
          <w:r w:rsidRPr="00877C7B">
            <w:rPr>
              <w:rFonts w:cstheme="minorHAnsi"/>
            </w:rPr>
            <w:fldChar w:fldCharType="begin"/>
          </w:r>
          <w:r w:rsidRPr="00877C7B">
            <w:rPr>
              <w:rFonts w:cstheme="minorHAnsi"/>
            </w:rPr>
            <w:instrText xml:space="preserve"> TOC \o "1-3" \h \z \u </w:instrText>
          </w:r>
          <w:r w:rsidRPr="00877C7B">
            <w:rPr>
              <w:rFonts w:cstheme="minorHAnsi"/>
            </w:rPr>
            <w:fldChar w:fldCharType="separate"/>
          </w:r>
          <w:hyperlink w:anchor="_Toc58952842" w:history="1">
            <w:r w:rsidR="005E6920" w:rsidRPr="00EA700A">
              <w:rPr>
                <w:rStyle w:val="Hyperlink"/>
                <w:rFonts w:cstheme="minorHAnsi"/>
                <w:b/>
                <w:noProof/>
                <w:lang w:val="ka-GE"/>
              </w:rPr>
              <w:t>1.</w:t>
            </w:r>
            <w:r w:rsidR="005E6920">
              <w:rPr>
                <w:rFonts w:eastAsiaTheme="minorEastAsia"/>
                <w:noProof/>
                <w:lang w:val="en-GB" w:eastAsia="en-GB"/>
              </w:rPr>
              <w:tab/>
            </w:r>
            <w:r w:rsidR="005E6920" w:rsidRPr="00EA700A">
              <w:rPr>
                <w:rStyle w:val="Hyperlink"/>
                <w:rFonts w:cstheme="minorHAnsi"/>
                <w:b/>
                <w:noProof/>
                <w:lang w:val="ka-GE"/>
              </w:rPr>
              <w:t>Medium-term Forecast Reconciliation</w:t>
            </w:r>
            <w:r w:rsidR="005E6920">
              <w:rPr>
                <w:noProof/>
                <w:webHidden/>
              </w:rPr>
              <w:tab/>
            </w:r>
            <w:r w:rsidR="005E6920">
              <w:rPr>
                <w:noProof/>
                <w:webHidden/>
              </w:rPr>
              <w:fldChar w:fldCharType="begin"/>
            </w:r>
            <w:r w:rsidR="005E6920">
              <w:rPr>
                <w:noProof/>
                <w:webHidden/>
              </w:rPr>
              <w:instrText xml:space="preserve"> PAGEREF _Toc58952842 \h </w:instrText>
            </w:r>
            <w:r w:rsidR="005E6920">
              <w:rPr>
                <w:noProof/>
                <w:webHidden/>
              </w:rPr>
            </w:r>
            <w:r w:rsidR="005E6920">
              <w:rPr>
                <w:noProof/>
                <w:webHidden/>
              </w:rPr>
              <w:fldChar w:fldCharType="separate"/>
            </w:r>
            <w:r w:rsidR="005E6920">
              <w:rPr>
                <w:noProof/>
                <w:webHidden/>
              </w:rPr>
              <w:t>3</w:t>
            </w:r>
            <w:r w:rsidR="005E6920">
              <w:rPr>
                <w:noProof/>
                <w:webHidden/>
              </w:rPr>
              <w:fldChar w:fldCharType="end"/>
            </w:r>
          </w:hyperlink>
        </w:p>
        <w:p w:rsidR="005E6920" w:rsidRDefault="006842B1">
          <w:pPr>
            <w:pStyle w:val="TOC1"/>
            <w:tabs>
              <w:tab w:val="left" w:pos="660"/>
              <w:tab w:val="right" w:leader="dot" w:pos="9607"/>
            </w:tabs>
            <w:rPr>
              <w:rFonts w:eastAsiaTheme="minorEastAsia"/>
              <w:noProof/>
              <w:lang w:val="en-GB" w:eastAsia="en-GB"/>
            </w:rPr>
          </w:pPr>
          <w:hyperlink w:anchor="_Toc58952843" w:history="1">
            <w:r w:rsidR="005E6920" w:rsidRPr="00EA700A">
              <w:rPr>
                <w:rStyle w:val="Hyperlink"/>
                <w:rFonts w:cstheme="minorHAnsi"/>
                <w:b/>
                <w:noProof/>
                <w:lang w:val="ka-GE"/>
              </w:rPr>
              <w:t>1.1</w:t>
            </w:r>
            <w:r w:rsidR="005E6920">
              <w:rPr>
                <w:rFonts w:eastAsiaTheme="minorEastAsia"/>
                <w:noProof/>
                <w:lang w:val="en-GB" w:eastAsia="en-GB"/>
              </w:rPr>
              <w:tab/>
            </w:r>
            <w:r w:rsidR="005E6920" w:rsidRPr="00EA700A">
              <w:rPr>
                <w:rStyle w:val="Hyperlink"/>
                <w:rFonts w:cstheme="minorHAnsi"/>
                <w:b/>
                <w:noProof/>
                <w:lang w:val="ka-GE"/>
              </w:rPr>
              <w:t>Basic Macroeconomic and Fiscal Indicators</w:t>
            </w:r>
            <w:r w:rsidR="005E6920">
              <w:rPr>
                <w:noProof/>
                <w:webHidden/>
              </w:rPr>
              <w:tab/>
            </w:r>
            <w:r w:rsidR="005E6920">
              <w:rPr>
                <w:noProof/>
                <w:webHidden/>
              </w:rPr>
              <w:fldChar w:fldCharType="begin"/>
            </w:r>
            <w:r w:rsidR="005E6920">
              <w:rPr>
                <w:noProof/>
                <w:webHidden/>
              </w:rPr>
              <w:instrText xml:space="preserve"> PAGEREF _Toc58952843 \h </w:instrText>
            </w:r>
            <w:r w:rsidR="005E6920">
              <w:rPr>
                <w:noProof/>
                <w:webHidden/>
              </w:rPr>
            </w:r>
            <w:r w:rsidR="005E6920">
              <w:rPr>
                <w:noProof/>
                <w:webHidden/>
              </w:rPr>
              <w:fldChar w:fldCharType="separate"/>
            </w:r>
            <w:r w:rsidR="005E6920">
              <w:rPr>
                <w:noProof/>
                <w:webHidden/>
              </w:rPr>
              <w:t>3</w:t>
            </w:r>
            <w:r w:rsidR="005E6920">
              <w:rPr>
                <w:noProof/>
                <w:webHidden/>
              </w:rPr>
              <w:fldChar w:fldCharType="end"/>
            </w:r>
          </w:hyperlink>
        </w:p>
        <w:p w:rsidR="005E6920" w:rsidRDefault="006842B1">
          <w:pPr>
            <w:pStyle w:val="TOC1"/>
            <w:tabs>
              <w:tab w:val="left" w:pos="660"/>
              <w:tab w:val="right" w:leader="dot" w:pos="9607"/>
            </w:tabs>
            <w:rPr>
              <w:rFonts w:eastAsiaTheme="minorEastAsia"/>
              <w:noProof/>
              <w:lang w:val="en-GB" w:eastAsia="en-GB"/>
            </w:rPr>
          </w:pPr>
          <w:hyperlink w:anchor="_Toc58952844" w:history="1">
            <w:r w:rsidR="005E6920" w:rsidRPr="00EA700A">
              <w:rPr>
                <w:rStyle w:val="Hyperlink"/>
                <w:rFonts w:cstheme="minorHAnsi"/>
                <w:b/>
                <w:noProof/>
              </w:rPr>
              <w:t>1.2</w:t>
            </w:r>
            <w:r w:rsidR="005E6920">
              <w:rPr>
                <w:rFonts w:eastAsiaTheme="minorEastAsia"/>
                <w:noProof/>
                <w:lang w:val="en-GB" w:eastAsia="en-GB"/>
              </w:rPr>
              <w:tab/>
            </w:r>
            <w:r w:rsidR="005E6920" w:rsidRPr="00EA700A">
              <w:rPr>
                <w:rStyle w:val="Hyperlink"/>
                <w:rFonts w:cstheme="minorHAnsi"/>
                <w:b/>
                <w:noProof/>
              </w:rPr>
              <w:t>Fiscal Framework and the Plan to Return to the Limits Provided by the Fiscal Rules</w:t>
            </w:r>
            <w:r w:rsidR="005E6920">
              <w:rPr>
                <w:noProof/>
                <w:webHidden/>
              </w:rPr>
              <w:tab/>
            </w:r>
            <w:r w:rsidR="005E6920">
              <w:rPr>
                <w:noProof/>
                <w:webHidden/>
              </w:rPr>
              <w:fldChar w:fldCharType="begin"/>
            </w:r>
            <w:r w:rsidR="005E6920">
              <w:rPr>
                <w:noProof/>
                <w:webHidden/>
              </w:rPr>
              <w:instrText xml:space="preserve"> PAGEREF _Toc58952844 \h </w:instrText>
            </w:r>
            <w:r w:rsidR="005E6920">
              <w:rPr>
                <w:noProof/>
                <w:webHidden/>
              </w:rPr>
            </w:r>
            <w:r w:rsidR="005E6920">
              <w:rPr>
                <w:noProof/>
                <w:webHidden/>
              </w:rPr>
              <w:fldChar w:fldCharType="separate"/>
            </w:r>
            <w:r w:rsidR="005E6920">
              <w:rPr>
                <w:noProof/>
                <w:webHidden/>
              </w:rPr>
              <w:t>6</w:t>
            </w:r>
            <w:r w:rsidR="005E6920">
              <w:rPr>
                <w:noProof/>
                <w:webHidden/>
              </w:rPr>
              <w:fldChar w:fldCharType="end"/>
            </w:r>
          </w:hyperlink>
        </w:p>
        <w:p w:rsidR="005E6920" w:rsidRDefault="006842B1">
          <w:pPr>
            <w:pStyle w:val="TOC2"/>
            <w:tabs>
              <w:tab w:val="left" w:pos="1100"/>
              <w:tab w:val="right" w:leader="dot" w:pos="9607"/>
            </w:tabs>
            <w:rPr>
              <w:rFonts w:eastAsiaTheme="minorEastAsia"/>
              <w:noProof/>
              <w:lang w:val="en-GB" w:eastAsia="en-GB"/>
            </w:rPr>
          </w:pPr>
          <w:hyperlink w:anchor="_Toc58952845" w:history="1">
            <w:r w:rsidR="005E6920" w:rsidRPr="00EA700A">
              <w:rPr>
                <w:rStyle w:val="Hyperlink"/>
                <w:rFonts w:cstheme="minorHAnsi"/>
                <w:noProof/>
              </w:rPr>
              <w:t>1.2.1</w:t>
            </w:r>
            <w:r w:rsidR="005E6920">
              <w:rPr>
                <w:rFonts w:eastAsiaTheme="minorEastAsia"/>
                <w:noProof/>
                <w:lang w:val="en-GB" w:eastAsia="en-GB"/>
              </w:rPr>
              <w:tab/>
            </w:r>
            <w:r w:rsidR="005E6920" w:rsidRPr="00EA700A">
              <w:rPr>
                <w:rStyle w:val="Hyperlink"/>
                <w:rFonts w:cstheme="minorHAnsi"/>
                <w:noProof/>
              </w:rPr>
              <w:t>Comparing the Fiscal Framework</w:t>
            </w:r>
            <w:r w:rsidR="005E6920">
              <w:rPr>
                <w:noProof/>
                <w:webHidden/>
              </w:rPr>
              <w:tab/>
            </w:r>
            <w:r w:rsidR="005E6920">
              <w:rPr>
                <w:noProof/>
                <w:webHidden/>
              </w:rPr>
              <w:fldChar w:fldCharType="begin"/>
            </w:r>
            <w:r w:rsidR="005E6920">
              <w:rPr>
                <w:noProof/>
                <w:webHidden/>
              </w:rPr>
              <w:instrText xml:space="preserve"> PAGEREF _Toc58952845 \h </w:instrText>
            </w:r>
            <w:r w:rsidR="005E6920">
              <w:rPr>
                <w:noProof/>
                <w:webHidden/>
              </w:rPr>
            </w:r>
            <w:r w:rsidR="005E6920">
              <w:rPr>
                <w:noProof/>
                <w:webHidden/>
              </w:rPr>
              <w:fldChar w:fldCharType="separate"/>
            </w:r>
            <w:r w:rsidR="005E6920">
              <w:rPr>
                <w:noProof/>
                <w:webHidden/>
              </w:rPr>
              <w:t>6</w:t>
            </w:r>
            <w:r w:rsidR="005E6920">
              <w:rPr>
                <w:noProof/>
                <w:webHidden/>
              </w:rPr>
              <w:fldChar w:fldCharType="end"/>
            </w:r>
          </w:hyperlink>
        </w:p>
        <w:p w:rsidR="005E6920" w:rsidRDefault="006842B1">
          <w:pPr>
            <w:pStyle w:val="TOC2"/>
            <w:tabs>
              <w:tab w:val="left" w:pos="1100"/>
              <w:tab w:val="right" w:leader="dot" w:pos="9607"/>
            </w:tabs>
            <w:rPr>
              <w:rFonts w:eastAsiaTheme="minorEastAsia"/>
              <w:noProof/>
              <w:lang w:val="en-GB" w:eastAsia="en-GB"/>
            </w:rPr>
          </w:pPr>
          <w:hyperlink w:anchor="_Toc58952846" w:history="1">
            <w:r w:rsidR="005E6920" w:rsidRPr="00EA700A">
              <w:rPr>
                <w:rStyle w:val="Hyperlink"/>
                <w:rFonts w:cstheme="minorHAnsi"/>
                <w:noProof/>
              </w:rPr>
              <w:t>1.2.2</w:t>
            </w:r>
            <w:r w:rsidR="005E6920">
              <w:rPr>
                <w:rFonts w:eastAsiaTheme="minorEastAsia"/>
                <w:noProof/>
                <w:lang w:val="en-GB" w:eastAsia="en-GB"/>
              </w:rPr>
              <w:tab/>
            </w:r>
            <w:r w:rsidR="005E6920" w:rsidRPr="00EA700A">
              <w:rPr>
                <w:rStyle w:val="Hyperlink"/>
                <w:rFonts w:cstheme="minorHAnsi"/>
                <w:noProof/>
              </w:rPr>
              <w:t>Medium-term Fiscal Fr</w:t>
            </w:r>
            <w:r w:rsidR="005E6920" w:rsidRPr="00EA700A">
              <w:rPr>
                <w:rStyle w:val="Hyperlink"/>
                <w:rFonts w:cstheme="minorHAnsi"/>
                <w:noProof/>
                <w:lang w:val="ka-GE"/>
              </w:rPr>
              <w:t>a</w:t>
            </w:r>
            <w:r w:rsidR="005E6920" w:rsidRPr="00EA700A">
              <w:rPr>
                <w:rStyle w:val="Hyperlink"/>
                <w:rFonts w:cstheme="minorHAnsi"/>
                <w:noProof/>
              </w:rPr>
              <w:t>mework Compliance with Fiscal Rules Considered by the Organic Law of Georgia “The Economic Liberty Act”</w:t>
            </w:r>
            <w:r w:rsidR="005E6920">
              <w:rPr>
                <w:noProof/>
                <w:webHidden/>
              </w:rPr>
              <w:tab/>
            </w:r>
            <w:r w:rsidR="005E6920">
              <w:rPr>
                <w:noProof/>
                <w:webHidden/>
              </w:rPr>
              <w:fldChar w:fldCharType="begin"/>
            </w:r>
            <w:r w:rsidR="005E6920">
              <w:rPr>
                <w:noProof/>
                <w:webHidden/>
              </w:rPr>
              <w:instrText xml:space="preserve"> PAGEREF _Toc58952846 \h </w:instrText>
            </w:r>
            <w:r w:rsidR="005E6920">
              <w:rPr>
                <w:noProof/>
                <w:webHidden/>
              </w:rPr>
            </w:r>
            <w:r w:rsidR="005E6920">
              <w:rPr>
                <w:noProof/>
                <w:webHidden/>
              </w:rPr>
              <w:fldChar w:fldCharType="separate"/>
            </w:r>
            <w:r w:rsidR="005E6920">
              <w:rPr>
                <w:noProof/>
                <w:webHidden/>
              </w:rPr>
              <w:t>15</w:t>
            </w:r>
            <w:r w:rsidR="005E6920">
              <w:rPr>
                <w:noProof/>
                <w:webHidden/>
              </w:rPr>
              <w:fldChar w:fldCharType="end"/>
            </w:r>
          </w:hyperlink>
        </w:p>
        <w:p w:rsidR="005E6920" w:rsidRDefault="006842B1">
          <w:pPr>
            <w:pStyle w:val="TOC1"/>
            <w:tabs>
              <w:tab w:val="left" w:pos="660"/>
              <w:tab w:val="right" w:leader="dot" w:pos="9607"/>
            </w:tabs>
            <w:rPr>
              <w:rFonts w:eastAsiaTheme="minorEastAsia"/>
              <w:noProof/>
              <w:lang w:val="en-GB" w:eastAsia="en-GB"/>
            </w:rPr>
          </w:pPr>
          <w:hyperlink w:anchor="_Toc58952847" w:history="1">
            <w:r w:rsidR="005E6920" w:rsidRPr="00EA700A">
              <w:rPr>
                <w:rStyle w:val="Hyperlink"/>
                <w:rFonts w:cstheme="minorHAnsi"/>
                <w:b/>
                <w:noProof/>
              </w:rPr>
              <w:t>1.3</w:t>
            </w:r>
            <w:r w:rsidR="005E6920">
              <w:rPr>
                <w:rFonts w:eastAsiaTheme="minorEastAsia"/>
                <w:noProof/>
                <w:lang w:val="en-GB" w:eastAsia="en-GB"/>
              </w:rPr>
              <w:tab/>
            </w:r>
            <w:r w:rsidR="005E6920" w:rsidRPr="00EA700A">
              <w:rPr>
                <w:rStyle w:val="Hyperlink"/>
                <w:rFonts w:cstheme="minorHAnsi"/>
                <w:b/>
                <w:noProof/>
              </w:rPr>
              <w:t>Government Debt</w:t>
            </w:r>
            <w:r w:rsidR="005E6920">
              <w:rPr>
                <w:noProof/>
                <w:webHidden/>
              </w:rPr>
              <w:tab/>
            </w:r>
            <w:r w:rsidR="005E6920">
              <w:rPr>
                <w:noProof/>
                <w:webHidden/>
              </w:rPr>
              <w:fldChar w:fldCharType="begin"/>
            </w:r>
            <w:r w:rsidR="005E6920">
              <w:rPr>
                <w:noProof/>
                <w:webHidden/>
              </w:rPr>
              <w:instrText xml:space="preserve"> PAGEREF _Toc58952847 \h </w:instrText>
            </w:r>
            <w:r w:rsidR="005E6920">
              <w:rPr>
                <w:noProof/>
                <w:webHidden/>
              </w:rPr>
            </w:r>
            <w:r w:rsidR="005E6920">
              <w:rPr>
                <w:noProof/>
                <w:webHidden/>
              </w:rPr>
              <w:fldChar w:fldCharType="separate"/>
            </w:r>
            <w:r w:rsidR="005E6920">
              <w:rPr>
                <w:noProof/>
                <w:webHidden/>
              </w:rPr>
              <w:t>18</w:t>
            </w:r>
            <w:r w:rsidR="005E6920">
              <w:rPr>
                <w:noProof/>
                <w:webHidden/>
              </w:rPr>
              <w:fldChar w:fldCharType="end"/>
            </w:r>
          </w:hyperlink>
        </w:p>
        <w:p w:rsidR="005E6920" w:rsidRDefault="006842B1">
          <w:pPr>
            <w:pStyle w:val="TOC1"/>
            <w:tabs>
              <w:tab w:val="left" w:pos="440"/>
              <w:tab w:val="right" w:leader="dot" w:pos="9607"/>
            </w:tabs>
            <w:rPr>
              <w:rFonts w:eastAsiaTheme="minorEastAsia"/>
              <w:noProof/>
              <w:lang w:val="en-GB" w:eastAsia="en-GB"/>
            </w:rPr>
          </w:pPr>
          <w:hyperlink w:anchor="_Toc58952848" w:history="1">
            <w:r w:rsidR="005E6920" w:rsidRPr="00EA700A">
              <w:rPr>
                <w:rStyle w:val="Hyperlink"/>
                <w:rFonts w:cstheme="minorHAnsi"/>
                <w:b/>
                <w:noProof/>
                <w:lang w:val="en-GB"/>
              </w:rPr>
              <w:t>2.</w:t>
            </w:r>
            <w:r w:rsidR="005E6920">
              <w:rPr>
                <w:rFonts w:eastAsiaTheme="minorEastAsia"/>
                <w:noProof/>
                <w:lang w:val="en-GB" w:eastAsia="en-GB"/>
              </w:rPr>
              <w:tab/>
            </w:r>
            <w:r w:rsidR="005E6920" w:rsidRPr="00EA700A">
              <w:rPr>
                <w:rStyle w:val="Hyperlink"/>
                <w:rFonts w:cstheme="minorHAnsi"/>
                <w:b/>
                <w:noProof/>
                <w:lang w:val="en-GB"/>
              </w:rPr>
              <w:t>New Policy Directions reflected in the 2021 draft State Budget law Package</w:t>
            </w:r>
            <w:r w:rsidR="005E6920">
              <w:rPr>
                <w:noProof/>
                <w:webHidden/>
              </w:rPr>
              <w:tab/>
            </w:r>
            <w:r w:rsidR="005E6920">
              <w:rPr>
                <w:noProof/>
                <w:webHidden/>
              </w:rPr>
              <w:fldChar w:fldCharType="begin"/>
            </w:r>
            <w:r w:rsidR="005E6920">
              <w:rPr>
                <w:noProof/>
                <w:webHidden/>
              </w:rPr>
              <w:instrText xml:space="preserve"> PAGEREF _Toc58952848 \h </w:instrText>
            </w:r>
            <w:r w:rsidR="005E6920">
              <w:rPr>
                <w:noProof/>
                <w:webHidden/>
              </w:rPr>
            </w:r>
            <w:r w:rsidR="005E6920">
              <w:rPr>
                <w:noProof/>
                <w:webHidden/>
              </w:rPr>
              <w:fldChar w:fldCharType="separate"/>
            </w:r>
            <w:r w:rsidR="005E6920">
              <w:rPr>
                <w:noProof/>
                <w:webHidden/>
              </w:rPr>
              <w:t>19</w:t>
            </w:r>
            <w:r w:rsidR="005E6920">
              <w:rPr>
                <w:noProof/>
                <w:webHidden/>
              </w:rPr>
              <w:fldChar w:fldCharType="end"/>
            </w:r>
          </w:hyperlink>
        </w:p>
        <w:p w:rsidR="005E6920" w:rsidRDefault="006842B1">
          <w:pPr>
            <w:pStyle w:val="TOC2"/>
            <w:tabs>
              <w:tab w:val="right" w:leader="dot" w:pos="9607"/>
            </w:tabs>
            <w:rPr>
              <w:rFonts w:eastAsiaTheme="minorEastAsia"/>
              <w:noProof/>
              <w:lang w:val="en-GB" w:eastAsia="en-GB"/>
            </w:rPr>
          </w:pPr>
          <w:hyperlink w:anchor="_Toc58952849" w:history="1">
            <w:r w:rsidR="005E6920" w:rsidRPr="00EA700A">
              <w:rPr>
                <w:rStyle w:val="Hyperlink"/>
                <w:rFonts w:cstheme="minorHAnsi"/>
                <w:b/>
                <w:noProof/>
                <w:lang w:val="en-GB"/>
              </w:rPr>
              <w:t>2.1 New Policy Directions</w:t>
            </w:r>
            <w:r w:rsidR="005E6920">
              <w:rPr>
                <w:noProof/>
                <w:webHidden/>
              </w:rPr>
              <w:tab/>
            </w:r>
            <w:r w:rsidR="005E6920">
              <w:rPr>
                <w:noProof/>
                <w:webHidden/>
              </w:rPr>
              <w:fldChar w:fldCharType="begin"/>
            </w:r>
            <w:r w:rsidR="005E6920">
              <w:rPr>
                <w:noProof/>
                <w:webHidden/>
              </w:rPr>
              <w:instrText xml:space="preserve"> PAGEREF _Toc58952849 \h </w:instrText>
            </w:r>
            <w:r w:rsidR="005E6920">
              <w:rPr>
                <w:noProof/>
                <w:webHidden/>
              </w:rPr>
            </w:r>
            <w:r w:rsidR="005E6920">
              <w:rPr>
                <w:noProof/>
                <w:webHidden/>
              </w:rPr>
              <w:fldChar w:fldCharType="separate"/>
            </w:r>
            <w:r w:rsidR="005E6920">
              <w:rPr>
                <w:noProof/>
                <w:webHidden/>
              </w:rPr>
              <w:t>19</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0" w:history="1">
            <w:r w:rsidR="005E6920" w:rsidRPr="00EA700A">
              <w:rPr>
                <w:rStyle w:val="Hyperlink"/>
                <w:rFonts w:cstheme="minorHAnsi"/>
                <w:noProof/>
                <w:lang w:val="en-GB"/>
              </w:rPr>
              <w:t>Credit Guarantee Scheme</w:t>
            </w:r>
            <w:r w:rsidR="005E6920">
              <w:rPr>
                <w:noProof/>
                <w:webHidden/>
              </w:rPr>
              <w:tab/>
            </w:r>
            <w:r w:rsidR="005E6920">
              <w:rPr>
                <w:noProof/>
                <w:webHidden/>
              </w:rPr>
              <w:fldChar w:fldCharType="begin"/>
            </w:r>
            <w:r w:rsidR="005E6920">
              <w:rPr>
                <w:noProof/>
                <w:webHidden/>
              </w:rPr>
              <w:instrText xml:space="preserve"> PAGEREF _Toc58952850 \h </w:instrText>
            </w:r>
            <w:r w:rsidR="005E6920">
              <w:rPr>
                <w:noProof/>
                <w:webHidden/>
              </w:rPr>
            </w:r>
            <w:r w:rsidR="005E6920">
              <w:rPr>
                <w:noProof/>
                <w:webHidden/>
              </w:rPr>
              <w:fldChar w:fldCharType="separate"/>
            </w:r>
            <w:r w:rsidR="005E6920">
              <w:rPr>
                <w:noProof/>
                <w:webHidden/>
              </w:rPr>
              <w:t>19</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1" w:history="1">
            <w:r w:rsidR="005E6920" w:rsidRPr="00EA700A">
              <w:rPr>
                <w:rStyle w:val="Hyperlink"/>
                <w:rFonts w:cstheme="minorHAnsi"/>
                <w:noProof/>
                <w:lang w:val="en-GB"/>
              </w:rPr>
              <w:t>Support for the Development Sector</w:t>
            </w:r>
            <w:r w:rsidR="005E6920">
              <w:rPr>
                <w:noProof/>
                <w:webHidden/>
              </w:rPr>
              <w:tab/>
            </w:r>
            <w:r w:rsidR="005E6920">
              <w:rPr>
                <w:noProof/>
                <w:webHidden/>
              </w:rPr>
              <w:fldChar w:fldCharType="begin"/>
            </w:r>
            <w:r w:rsidR="005E6920">
              <w:rPr>
                <w:noProof/>
                <w:webHidden/>
              </w:rPr>
              <w:instrText xml:space="preserve"> PAGEREF _Toc58952851 \h </w:instrText>
            </w:r>
            <w:r w:rsidR="005E6920">
              <w:rPr>
                <w:noProof/>
                <w:webHidden/>
              </w:rPr>
            </w:r>
            <w:r w:rsidR="005E6920">
              <w:rPr>
                <w:noProof/>
                <w:webHidden/>
              </w:rPr>
              <w:fldChar w:fldCharType="separate"/>
            </w:r>
            <w:r w:rsidR="005E6920">
              <w:rPr>
                <w:noProof/>
                <w:webHidden/>
              </w:rPr>
              <w:t>20</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2" w:history="1">
            <w:r w:rsidR="005E6920" w:rsidRPr="00EA700A">
              <w:rPr>
                <w:rStyle w:val="Hyperlink"/>
                <w:rFonts w:cstheme="minorHAnsi"/>
                <w:noProof/>
                <w:lang w:val="en-GB"/>
              </w:rPr>
              <w:t>New policy Direction in pension policy – Pension Indexation</w:t>
            </w:r>
            <w:r w:rsidR="005E6920">
              <w:rPr>
                <w:noProof/>
                <w:webHidden/>
              </w:rPr>
              <w:tab/>
            </w:r>
            <w:r w:rsidR="005E6920">
              <w:rPr>
                <w:noProof/>
                <w:webHidden/>
              </w:rPr>
              <w:fldChar w:fldCharType="begin"/>
            </w:r>
            <w:r w:rsidR="005E6920">
              <w:rPr>
                <w:noProof/>
                <w:webHidden/>
              </w:rPr>
              <w:instrText xml:space="preserve"> PAGEREF _Toc58952852 \h </w:instrText>
            </w:r>
            <w:r w:rsidR="005E6920">
              <w:rPr>
                <w:noProof/>
                <w:webHidden/>
              </w:rPr>
            </w:r>
            <w:r w:rsidR="005E6920">
              <w:rPr>
                <w:noProof/>
                <w:webHidden/>
              </w:rPr>
              <w:fldChar w:fldCharType="separate"/>
            </w:r>
            <w:r w:rsidR="005E6920">
              <w:rPr>
                <w:noProof/>
                <w:webHidden/>
              </w:rPr>
              <w:t>20</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3" w:history="1">
            <w:r w:rsidR="005E6920" w:rsidRPr="00EA700A">
              <w:rPr>
                <w:rStyle w:val="Hyperlink"/>
                <w:rFonts w:cstheme="minorHAnsi"/>
                <w:noProof/>
                <w:lang w:val="en-GB"/>
              </w:rPr>
              <w:t>New direction in the provision of primary and emergency medical care</w:t>
            </w:r>
            <w:r w:rsidR="005E6920">
              <w:rPr>
                <w:noProof/>
                <w:webHidden/>
              </w:rPr>
              <w:tab/>
            </w:r>
            <w:r w:rsidR="005E6920">
              <w:rPr>
                <w:noProof/>
                <w:webHidden/>
              </w:rPr>
              <w:fldChar w:fldCharType="begin"/>
            </w:r>
            <w:r w:rsidR="005E6920">
              <w:rPr>
                <w:noProof/>
                <w:webHidden/>
              </w:rPr>
              <w:instrText xml:space="preserve"> PAGEREF _Toc58952853 \h </w:instrText>
            </w:r>
            <w:r w:rsidR="005E6920">
              <w:rPr>
                <w:noProof/>
                <w:webHidden/>
              </w:rPr>
            </w:r>
            <w:r w:rsidR="005E6920">
              <w:rPr>
                <w:noProof/>
                <w:webHidden/>
              </w:rPr>
              <w:fldChar w:fldCharType="separate"/>
            </w:r>
            <w:r w:rsidR="005E6920">
              <w:rPr>
                <w:noProof/>
                <w:webHidden/>
              </w:rPr>
              <w:t>20</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4" w:history="1">
            <w:r w:rsidR="005E6920" w:rsidRPr="00EA700A">
              <w:rPr>
                <w:rStyle w:val="Hyperlink"/>
                <w:rFonts w:cstheme="minorHAnsi"/>
                <w:noProof/>
                <w:lang w:val="en-GB"/>
              </w:rPr>
              <w:t>New direction of Safety working conditions policy</w:t>
            </w:r>
            <w:r w:rsidR="005E6920">
              <w:rPr>
                <w:noProof/>
                <w:webHidden/>
              </w:rPr>
              <w:tab/>
            </w:r>
            <w:r w:rsidR="005E6920">
              <w:rPr>
                <w:noProof/>
                <w:webHidden/>
              </w:rPr>
              <w:fldChar w:fldCharType="begin"/>
            </w:r>
            <w:r w:rsidR="005E6920">
              <w:rPr>
                <w:noProof/>
                <w:webHidden/>
              </w:rPr>
              <w:instrText xml:space="preserve"> PAGEREF _Toc58952854 \h </w:instrText>
            </w:r>
            <w:r w:rsidR="005E6920">
              <w:rPr>
                <w:noProof/>
                <w:webHidden/>
              </w:rPr>
            </w:r>
            <w:r w:rsidR="005E6920">
              <w:rPr>
                <w:noProof/>
                <w:webHidden/>
              </w:rPr>
              <w:fldChar w:fldCharType="separate"/>
            </w:r>
            <w:r w:rsidR="005E6920">
              <w:rPr>
                <w:noProof/>
                <w:webHidden/>
              </w:rPr>
              <w:t>20</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5" w:history="1">
            <w:r w:rsidR="005E6920" w:rsidRPr="00EA700A">
              <w:rPr>
                <w:rStyle w:val="Hyperlink"/>
                <w:rFonts w:cstheme="minorHAnsi"/>
                <w:noProof/>
                <w:lang w:val="en-GB"/>
              </w:rPr>
              <w:t>New direction of Employment Policy</w:t>
            </w:r>
            <w:r w:rsidR="005E6920">
              <w:rPr>
                <w:noProof/>
                <w:webHidden/>
              </w:rPr>
              <w:tab/>
            </w:r>
            <w:r w:rsidR="005E6920">
              <w:rPr>
                <w:noProof/>
                <w:webHidden/>
              </w:rPr>
              <w:fldChar w:fldCharType="begin"/>
            </w:r>
            <w:r w:rsidR="005E6920">
              <w:rPr>
                <w:noProof/>
                <w:webHidden/>
              </w:rPr>
              <w:instrText xml:space="preserve"> PAGEREF _Toc58952855 \h </w:instrText>
            </w:r>
            <w:r w:rsidR="005E6920">
              <w:rPr>
                <w:noProof/>
                <w:webHidden/>
              </w:rPr>
            </w:r>
            <w:r w:rsidR="005E6920">
              <w:rPr>
                <w:noProof/>
                <w:webHidden/>
              </w:rPr>
              <w:fldChar w:fldCharType="separate"/>
            </w:r>
            <w:r w:rsidR="005E6920">
              <w:rPr>
                <w:noProof/>
                <w:webHidden/>
              </w:rPr>
              <w:t>21</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6" w:history="1">
            <w:r w:rsidR="005E6920" w:rsidRPr="00EA700A">
              <w:rPr>
                <w:rStyle w:val="Hyperlink"/>
                <w:rFonts w:cstheme="minorHAnsi"/>
                <w:noProof/>
                <w:lang w:val="en-GB"/>
              </w:rPr>
              <w:t>Scheme for professional development and career advancement of teachers and an increase of remuneration</w:t>
            </w:r>
            <w:r w:rsidR="005E6920">
              <w:rPr>
                <w:noProof/>
                <w:webHidden/>
              </w:rPr>
              <w:tab/>
            </w:r>
            <w:r w:rsidR="005E6920">
              <w:rPr>
                <w:noProof/>
                <w:webHidden/>
              </w:rPr>
              <w:fldChar w:fldCharType="begin"/>
            </w:r>
            <w:r w:rsidR="005E6920">
              <w:rPr>
                <w:noProof/>
                <w:webHidden/>
              </w:rPr>
              <w:instrText xml:space="preserve"> PAGEREF _Toc58952856 \h </w:instrText>
            </w:r>
            <w:r w:rsidR="005E6920">
              <w:rPr>
                <w:noProof/>
                <w:webHidden/>
              </w:rPr>
            </w:r>
            <w:r w:rsidR="005E6920">
              <w:rPr>
                <w:noProof/>
                <w:webHidden/>
              </w:rPr>
              <w:fldChar w:fldCharType="separate"/>
            </w:r>
            <w:r w:rsidR="005E6920">
              <w:rPr>
                <w:noProof/>
                <w:webHidden/>
              </w:rPr>
              <w:t>21</w:t>
            </w:r>
            <w:r w:rsidR="005E6920">
              <w:rPr>
                <w:noProof/>
                <w:webHidden/>
              </w:rPr>
              <w:fldChar w:fldCharType="end"/>
            </w:r>
          </w:hyperlink>
        </w:p>
        <w:p w:rsidR="005E6920" w:rsidRDefault="006842B1">
          <w:pPr>
            <w:pStyle w:val="TOC3"/>
            <w:tabs>
              <w:tab w:val="right" w:leader="dot" w:pos="9607"/>
            </w:tabs>
            <w:rPr>
              <w:rFonts w:eastAsiaTheme="minorEastAsia"/>
              <w:noProof/>
              <w:lang w:val="en-GB" w:eastAsia="en-GB"/>
            </w:rPr>
          </w:pPr>
          <w:hyperlink w:anchor="_Toc58952857" w:history="1">
            <w:r w:rsidR="005E6920" w:rsidRPr="00EA700A">
              <w:rPr>
                <w:rStyle w:val="Hyperlink"/>
                <w:rFonts w:cstheme="minorHAnsi"/>
                <w:noProof/>
                <w:lang w:val="en-GB"/>
              </w:rPr>
              <w:t>Implementation of "New School" Model</w:t>
            </w:r>
            <w:r w:rsidR="005E6920">
              <w:rPr>
                <w:noProof/>
                <w:webHidden/>
              </w:rPr>
              <w:tab/>
            </w:r>
            <w:r w:rsidR="005E6920">
              <w:rPr>
                <w:noProof/>
                <w:webHidden/>
              </w:rPr>
              <w:fldChar w:fldCharType="begin"/>
            </w:r>
            <w:r w:rsidR="005E6920">
              <w:rPr>
                <w:noProof/>
                <w:webHidden/>
              </w:rPr>
              <w:instrText xml:space="preserve"> PAGEREF _Toc58952857 \h </w:instrText>
            </w:r>
            <w:r w:rsidR="005E6920">
              <w:rPr>
                <w:noProof/>
                <w:webHidden/>
              </w:rPr>
            </w:r>
            <w:r w:rsidR="005E6920">
              <w:rPr>
                <w:noProof/>
                <w:webHidden/>
              </w:rPr>
              <w:fldChar w:fldCharType="separate"/>
            </w:r>
            <w:r w:rsidR="005E6920">
              <w:rPr>
                <w:noProof/>
                <w:webHidden/>
              </w:rPr>
              <w:t>21</w:t>
            </w:r>
            <w:r w:rsidR="005E6920">
              <w:rPr>
                <w:noProof/>
                <w:webHidden/>
              </w:rPr>
              <w:fldChar w:fldCharType="end"/>
            </w:r>
          </w:hyperlink>
        </w:p>
        <w:p w:rsidR="005E6920" w:rsidRDefault="006842B1">
          <w:pPr>
            <w:pStyle w:val="TOC1"/>
            <w:tabs>
              <w:tab w:val="right" w:leader="dot" w:pos="9607"/>
            </w:tabs>
            <w:rPr>
              <w:rFonts w:eastAsiaTheme="minorEastAsia"/>
              <w:noProof/>
              <w:lang w:val="en-GB" w:eastAsia="en-GB"/>
            </w:rPr>
          </w:pPr>
          <w:hyperlink w:anchor="_Toc58952858" w:history="1">
            <w:r w:rsidR="005E6920" w:rsidRPr="00EA700A">
              <w:rPr>
                <w:rStyle w:val="Hyperlink"/>
                <w:rFonts w:cstheme="minorHAnsi"/>
                <w:b/>
                <w:noProof/>
                <w:lang w:val="en-GB"/>
              </w:rPr>
              <w:t>2.2. Financial Resources provided for new policy directions in the Basic Data and Directions (BDD) document (in thousands GEL)</w:t>
            </w:r>
            <w:r w:rsidR="005E6920">
              <w:rPr>
                <w:noProof/>
                <w:webHidden/>
              </w:rPr>
              <w:tab/>
            </w:r>
            <w:r w:rsidR="005E6920">
              <w:rPr>
                <w:noProof/>
                <w:webHidden/>
              </w:rPr>
              <w:fldChar w:fldCharType="begin"/>
            </w:r>
            <w:r w:rsidR="005E6920">
              <w:rPr>
                <w:noProof/>
                <w:webHidden/>
              </w:rPr>
              <w:instrText xml:space="preserve"> PAGEREF _Toc58952858 \h </w:instrText>
            </w:r>
            <w:r w:rsidR="005E6920">
              <w:rPr>
                <w:noProof/>
                <w:webHidden/>
              </w:rPr>
            </w:r>
            <w:r w:rsidR="005E6920">
              <w:rPr>
                <w:noProof/>
                <w:webHidden/>
              </w:rPr>
              <w:fldChar w:fldCharType="separate"/>
            </w:r>
            <w:r w:rsidR="005E6920">
              <w:rPr>
                <w:noProof/>
                <w:webHidden/>
              </w:rPr>
              <w:t>22</w:t>
            </w:r>
            <w:r w:rsidR="005E6920">
              <w:rPr>
                <w:noProof/>
                <w:webHidden/>
              </w:rPr>
              <w:fldChar w:fldCharType="end"/>
            </w:r>
          </w:hyperlink>
        </w:p>
        <w:p w:rsidR="005E6920" w:rsidRDefault="006842B1">
          <w:pPr>
            <w:pStyle w:val="TOC1"/>
            <w:tabs>
              <w:tab w:val="right" w:leader="dot" w:pos="9607"/>
            </w:tabs>
            <w:rPr>
              <w:rFonts w:eastAsiaTheme="minorEastAsia"/>
              <w:noProof/>
              <w:lang w:val="en-GB" w:eastAsia="en-GB"/>
            </w:rPr>
          </w:pPr>
          <w:hyperlink w:anchor="_Toc58952859" w:history="1">
            <w:r w:rsidR="005E6920" w:rsidRPr="00EA700A">
              <w:rPr>
                <w:rStyle w:val="Hyperlink"/>
                <w:rFonts w:cstheme="minorHAnsi"/>
                <w:b/>
                <w:noProof/>
                <w:lang w:val="en-GB"/>
              </w:rPr>
              <w:t>Annex N1 - New Template for the preparation of the Basic Data and Direction (BDD) document</w:t>
            </w:r>
            <w:r w:rsidR="005E6920">
              <w:rPr>
                <w:noProof/>
                <w:webHidden/>
              </w:rPr>
              <w:tab/>
            </w:r>
            <w:r w:rsidR="005E6920">
              <w:rPr>
                <w:noProof/>
                <w:webHidden/>
              </w:rPr>
              <w:fldChar w:fldCharType="begin"/>
            </w:r>
            <w:r w:rsidR="005E6920">
              <w:rPr>
                <w:noProof/>
                <w:webHidden/>
              </w:rPr>
              <w:instrText xml:space="preserve"> PAGEREF _Toc58952859 \h </w:instrText>
            </w:r>
            <w:r w:rsidR="005E6920">
              <w:rPr>
                <w:noProof/>
                <w:webHidden/>
              </w:rPr>
            </w:r>
            <w:r w:rsidR="005E6920">
              <w:rPr>
                <w:noProof/>
                <w:webHidden/>
              </w:rPr>
              <w:fldChar w:fldCharType="separate"/>
            </w:r>
            <w:r w:rsidR="005E6920">
              <w:rPr>
                <w:noProof/>
                <w:webHidden/>
              </w:rPr>
              <w:t>23</w:t>
            </w:r>
            <w:r w:rsidR="005E6920">
              <w:rPr>
                <w:noProof/>
                <w:webHidden/>
              </w:rPr>
              <w:fldChar w:fldCharType="end"/>
            </w:r>
          </w:hyperlink>
        </w:p>
        <w:p w:rsidR="00C11086" w:rsidRPr="00877C7B" w:rsidRDefault="00C11086">
          <w:pPr>
            <w:rPr>
              <w:rFonts w:cstheme="minorHAnsi"/>
            </w:rPr>
          </w:pPr>
          <w:r w:rsidRPr="00877C7B">
            <w:rPr>
              <w:rFonts w:cstheme="minorHAnsi"/>
              <w:b/>
              <w:bCs/>
              <w:noProof/>
            </w:rPr>
            <w:fldChar w:fldCharType="end"/>
          </w:r>
        </w:p>
      </w:sdtContent>
    </w:sdt>
    <w:p w:rsidR="00C11086" w:rsidRPr="00877C7B" w:rsidRDefault="00C11086" w:rsidP="00A146F5">
      <w:pPr>
        <w:spacing w:before="60" w:after="60"/>
        <w:ind w:right="-25"/>
        <w:jc w:val="center"/>
        <w:rPr>
          <w:rFonts w:cstheme="minorHAnsi"/>
          <w:sz w:val="20"/>
          <w:szCs w:val="20"/>
          <w:u w:val="single"/>
        </w:rPr>
      </w:pPr>
    </w:p>
    <w:p w:rsidR="00C11086" w:rsidRPr="00877C7B" w:rsidRDefault="00C11086" w:rsidP="00A146F5">
      <w:pPr>
        <w:spacing w:before="60" w:after="60"/>
        <w:ind w:right="-25"/>
        <w:jc w:val="center"/>
        <w:rPr>
          <w:rFonts w:cstheme="minorHAnsi"/>
          <w:i/>
          <w:sz w:val="20"/>
          <w:szCs w:val="20"/>
          <w:u w:val="single"/>
        </w:rPr>
      </w:pPr>
    </w:p>
    <w:p w:rsidR="00C11086" w:rsidRPr="00877C7B" w:rsidRDefault="00C11086" w:rsidP="00A146F5">
      <w:pPr>
        <w:spacing w:before="60" w:after="60"/>
        <w:ind w:right="-25"/>
        <w:jc w:val="center"/>
        <w:rPr>
          <w:rFonts w:cstheme="minorHAnsi"/>
          <w:i/>
          <w:sz w:val="20"/>
          <w:szCs w:val="20"/>
          <w:u w:val="single"/>
        </w:rPr>
      </w:pPr>
    </w:p>
    <w:p w:rsidR="00CE5E88" w:rsidRDefault="00CE5E88">
      <w:pPr>
        <w:rPr>
          <w:rFonts w:cstheme="minorHAnsi"/>
          <w:i/>
          <w:sz w:val="20"/>
          <w:szCs w:val="20"/>
          <w:u w:val="single"/>
        </w:rPr>
      </w:pPr>
      <w:r>
        <w:rPr>
          <w:rFonts w:cstheme="minorHAnsi"/>
          <w:i/>
          <w:sz w:val="20"/>
          <w:szCs w:val="20"/>
          <w:u w:val="single"/>
        </w:rPr>
        <w:br w:type="page"/>
      </w:r>
    </w:p>
    <w:p w:rsidR="003C31A8" w:rsidRPr="00877C7B" w:rsidRDefault="003C31A8" w:rsidP="003C31A8">
      <w:pPr>
        <w:pStyle w:val="Heading1"/>
        <w:numPr>
          <w:ilvl w:val="0"/>
          <w:numId w:val="1"/>
        </w:numPr>
        <w:jc w:val="center"/>
        <w:rPr>
          <w:rFonts w:asciiTheme="minorHAnsi" w:hAnsiTheme="minorHAnsi" w:cstheme="minorHAnsi"/>
          <w:b/>
          <w:sz w:val="24"/>
          <w:lang w:val="ka-GE"/>
        </w:rPr>
      </w:pPr>
      <w:bookmarkStart w:id="0" w:name="_Toc58952842"/>
      <w:r w:rsidRPr="00877C7B">
        <w:rPr>
          <w:rFonts w:asciiTheme="minorHAnsi" w:hAnsiTheme="minorHAnsi" w:cstheme="minorHAnsi"/>
          <w:b/>
          <w:sz w:val="24"/>
          <w:lang w:val="ka-GE"/>
        </w:rPr>
        <w:t>Medium-term Forecast Reconciliation</w:t>
      </w:r>
      <w:bookmarkEnd w:id="0"/>
    </w:p>
    <w:p w:rsidR="007B6E63" w:rsidRPr="00877C7B" w:rsidRDefault="00A21683" w:rsidP="003C31A8">
      <w:pPr>
        <w:pStyle w:val="Heading1"/>
        <w:numPr>
          <w:ilvl w:val="1"/>
          <w:numId w:val="1"/>
        </w:numPr>
        <w:jc w:val="both"/>
        <w:rPr>
          <w:rFonts w:asciiTheme="minorHAnsi" w:hAnsiTheme="minorHAnsi" w:cstheme="minorHAnsi"/>
          <w:b/>
          <w:sz w:val="24"/>
          <w:lang w:val="ka-GE"/>
        </w:rPr>
      </w:pPr>
      <w:bookmarkStart w:id="1" w:name="_Toc58952843"/>
      <w:r w:rsidRPr="00877C7B">
        <w:rPr>
          <w:rFonts w:asciiTheme="minorHAnsi" w:hAnsiTheme="minorHAnsi" w:cstheme="minorHAnsi"/>
          <w:b/>
          <w:sz w:val="24"/>
          <w:lang w:val="ka-GE"/>
        </w:rPr>
        <w:t>Basic Macroeconomic and Fiscal Indicators</w:t>
      </w:r>
      <w:bookmarkEnd w:id="1"/>
    </w:p>
    <w:p w:rsidR="00D968E5" w:rsidRPr="00877C7B" w:rsidRDefault="00D968E5" w:rsidP="00D968E5">
      <w:pPr>
        <w:pStyle w:val="NoSpacing"/>
        <w:jc w:val="both"/>
        <w:rPr>
          <w:rFonts w:cstheme="minorHAnsi"/>
          <w:lang w:val="ka-GE"/>
        </w:rPr>
      </w:pPr>
    </w:p>
    <w:p w:rsidR="00877C7B" w:rsidRPr="00877C7B" w:rsidRDefault="00A21683" w:rsidP="00877C7B">
      <w:pPr>
        <w:pStyle w:val="NoSpacing"/>
        <w:spacing w:line="276" w:lineRule="auto"/>
        <w:ind w:firstLine="720"/>
        <w:jc w:val="both"/>
        <w:rPr>
          <w:rFonts w:cstheme="minorHAnsi"/>
          <w:lang w:val="ka-GE"/>
        </w:rPr>
      </w:pPr>
      <w:r w:rsidRPr="00877C7B">
        <w:rPr>
          <w:rFonts w:cstheme="minorHAnsi"/>
          <w:lang w:val="ka-GE"/>
        </w:rPr>
        <w:t xml:space="preserve">The following forecast </w:t>
      </w:r>
      <w:r w:rsidR="004A1163" w:rsidRPr="00877C7B">
        <w:rPr>
          <w:rFonts w:cstheme="minorHAnsi"/>
        </w:rPr>
        <w:t xml:space="preserve">has </w:t>
      </w:r>
      <w:r w:rsidR="00663657" w:rsidRPr="00877C7B">
        <w:rPr>
          <w:rFonts w:cstheme="minorHAnsi"/>
        </w:rPr>
        <w:t xml:space="preserve">been </w:t>
      </w:r>
      <w:r w:rsidRPr="00877C7B">
        <w:rPr>
          <w:rFonts w:cstheme="minorHAnsi"/>
          <w:lang w:val="ka-GE"/>
        </w:rPr>
        <w:t xml:space="preserve">prepared </w:t>
      </w:r>
      <w:r w:rsidR="00590EB8" w:rsidRPr="00877C7B">
        <w:rPr>
          <w:rFonts w:cstheme="minorHAnsi"/>
        </w:rPr>
        <w:t xml:space="preserve">as </w:t>
      </w:r>
      <w:r w:rsidR="004A1163" w:rsidRPr="00877C7B">
        <w:rPr>
          <w:rFonts w:cstheme="minorHAnsi"/>
        </w:rPr>
        <w:t xml:space="preserve">a </w:t>
      </w:r>
      <w:r w:rsidR="00590EB8" w:rsidRPr="00877C7B">
        <w:rPr>
          <w:rFonts w:cstheme="minorHAnsi"/>
        </w:rPr>
        <w:t xml:space="preserve">part of </w:t>
      </w:r>
      <w:r w:rsidRPr="00877C7B">
        <w:rPr>
          <w:rFonts w:cstheme="minorHAnsi"/>
          <w:lang w:val="ka-GE"/>
        </w:rPr>
        <w:t>202</w:t>
      </w:r>
      <w:r w:rsidR="00663657" w:rsidRPr="00877C7B">
        <w:rPr>
          <w:rFonts w:cstheme="minorHAnsi"/>
        </w:rPr>
        <w:t>1</w:t>
      </w:r>
      <w:r w:rsidRPr="00877C7B">
        <w:rPr>
          <w:rFonts w:cstheme="minorHAnsi"/>
          <w:lang w:val="ka-GE"/>
        </w:rPr>
        <w:t xml:space="preserve"> budget</w:t>
      </w:r>
      <w:r w:rsidR="00BD5C50" w:rsidRPr="00877C7B">
        <w:rPr>
          <w:rFonts w:cstheme="minorHAnsi"/>
        </w:rPr>
        <w:t xml:space="preserve"> </w:t>
      </w:r>
      <w:r w:rsidR="00201945" w:rsidRPr="00877C7B">
        <w:rPr>
          <w:rFonts w:cstheme="minorHAnsi"/>
        </w:rPr>
        <w:t>draft law</w:t>
      </w:r>
      <w:r w:rsidR="004A1163" w:rsidRPr="00877C7B">
        <w:rPr>
          <w:rFonts w:cstheme="minorHAnsi"/>
        </w:rPr>
        <w:t xml:space="preserve"> and it</w:t>
      </w:r>
      <w:r w:rsidR="00BD5C50" w:rsidRPr="00877C7B">
        <w:rPr>
          <w:rFonts w:cstheme="minorHAnsi"/>
        </w:rPr>
        <w:t xml:space="preserve"> is</w:t>
      </w:r>
      <w:r w:rsidRPr="00877C7B">
        <w:rPr>
          <w:rFonts w:cstheme="minorHAnsi"/>
          <w:lang w:val="ka-GE"/>
        </w:rPr>
        <w:t xml:space="preserve"> </w:t>
      </w:r>
      <w:r w:rsidR="00693F22" w:rsidRPr="00877C7B">
        <w:rPr>
          <w:rFonts w:cstheme="minorHAnsi"/>
          <w:lang w:val="ka-GE"/>
        </w:rPr>
        <w:t>the</w:t>
      </w:r>
      <w:r w:rsidR="00693F22" w:rsidRPr="00877C7B">
        <w:rPr>
          <w:rFonts w:cstheme="minorHAnsi"/>
        </w:rPr>
        <w:t xml:space="preserve"> medium-term forecast reconciliation</w:t>
      </w:r>
      <w:r w:rsidR="004218A3" w:rsidRPr="00877C7B">
        <w:rPr>
          <w:rFonts w:cstheme="minorHAnsi"/>
          <w:lang w:val="ka-GE"/>
        </w:rPr>
        <w:t xml:space="preserve"> </w:t>
      </w:r>
      <w:r w:rsidR="004218A3" w:rsidRPr="00877C7B">
        <w:rPr>
          <w:rFonts w:cstheme="minorHAnsi"/>
        </w:rPr>
        <w:t>of</w:t>
      </w:r>
      <w:r w:rsidR="00693F22" w:rsidRPr="00877C7B">
        <w:rPr>
          <w:rFonts w:cstheme="minorHAnsi"/>
        </w:rPr>
        <w:t xml:space="preserve"> </w:t>
      </w:r>
      <w:r w:rsidR="0010545D" w:rsidRPr="00877C7B">
        <w:rPr>
          <w:rFonts w:cstheme="minorHAnsi"/>
        </w:rPr>
        <w:t>economic and fiscal parameters</w:t>
      </w:r>
      <w:r w:rsidR="0010545D" w:rsidRPr="00877C7B">
        <w:rPr>
          <w:rFonts w:cstheme="minorHAnsi"/>
          <w:lang w:val="ka-GE"/>
        </w:rPr>
        <w:t xml:space="preserve"> </w:t>
      </w:r>
      <w:r w:rsidR="0010545D" w:rsidRPr="00877C7B">
        <w:rPr>
          <w:rFonts w:cstheme="minorHAnsi"/>
        </w:rPr>
        <w:t>for</w:t>
      </w:r>
      <w:r w:rsidR="00693F22" w:rsidRPr="00877C7B">
        <w:rPr>
          <w:rFonts w:cstheme="minorHAnsi"/>
        </w:rPr>
        <w:t xml:space="preserve"> </w:t>
      </w:r>
      <w:r w:rsidR="00693F22" w:rsidRPr="00877C7B">
        <w:rPr>
          <w:rFonts w:cstheme="minorHAnsi"/>
          <w:lang w:val="ka-GE"/>
        </w:rPr>
        <w:t>„</w:t>
      </w:r>
      <w:r w:rsidR="00693F22" w:rsidRPr="00877C7B">
        <w:rPr>
          <w:rFonts w:cstheme="minorHAnsi"/>
        </w:rPr>
        <w:t>2020-2023 Basic Data and Directions (BDD) document</w:t>
      </w:r>
      <w:r w:rsidR="00693F22" w:rsidRPr="00877C7B">
        <w:rPr>
          <w:rFonts w:cstheme="minorHAnsi"/>
          <w:lang w:val="ka-GE"/>
        </w:rPr>
        <w:t>“</w:t>
      </w:r>
      <w:r w:rsidR="00663657" w:rsidRPr="00877C7B">
        <w:rPr>
          <w:rFonts w:cstheme="minorHAnsi"/>
        </w:rPr>
        <w:t xml:space="preserve"> attached on the 2020</w:t>
      </w:r>
      <w:r w:rsidR="00BD5C50" w:rsidRPr="00877C7B">
        <w:rPr>
          <w:rFonts w:cstheme="minorHAnsi"/>
        </w:rPr>
        <w:t xml:space="preserve"> budget </w:t>
      </w:r>
      <w:r w:rsidR="00663657" w:rsidRPr="00877C7B">
        <w:rPr>
          <w:rFonts w:cstheme="minorHAnsi"/>
        </w:rPr>
        <w:t>la</w:t>
      </w:r>
      <w:r w:rsidR="004A1163" w:rsidRPr="00877C7B">
        <w:rPr>
          <w:rFonts w:cstheme="minorHAnsi"/>
        </w:rPr>
        <w:t xml:space="preserve">w </w:t>
      </w:r>
      <w:r w:rsidR="00BD5C50" w:rsidRPr="00877C7B">
        <w:rPr>
          <w:rFonts w:cstheme="minorHAnsi"/>
        </w:rPr>
        <w:t xml:space="preserve">and </w:t>
      </w:r>
      <w:r w:rsidR="00140593" w:rsidRPr="00877C7B">
        <w:rPr>
          <w:rFonts w:cstheme="minorHAnsi"/>
          <w:lang w:val="ka-GE"/>
        </w:rPr>
        <w:t xml:space="preserve">an updated version </w:t>
      </w:r>
      <w:r w:rsidR="00140593" w:rsidRPr="00877C7B">
        <w:rPr>
          <w:rFonts w:cstheme="minorHAnsi"/>
        </w:rPr>
        <w:t>under</w:t>
      </w:r>
      <w:r w:rsidR="00693F22" w:rsidRPr="00877C7B">
        <w:rPr>
          <w:rFonts w:cstheme="minorHAnsi"/>
          <w:lang w:val="ka-GE"/>
        </w:rPr>
        <w:t xml:space="preserve"> „</w:t>
      </w:r>
      <w:r w:rsidR="00693F22" w:rsidRPr="00877C7B">
        <w:rPr>
          <w:rFonts w:cstheme="minorHAnsi"/>
        </w:rPr>
        <w:t>202</w:t>
      </w:r>
      <w:r w:rsidR="00693F22" w:rsidRPr="00877C7B">
        <w:rPr>
          <w:rFonts w:cstheme="minorHAnsi"/>
          <w:lang w:val="ka-GE"/>
        </w:rPr>
        <w:t>1</w:t>
      </w:r>
      <w:r w:rsidR="00693F22" w:rsidRPr="00877C7B">
        <w:rPr>
          <w:rFonts w:cstheme="minorHAnsi"/>
        </w:rPr>
        <w:t>-2024 Basic Data and Directions (BDD) document</w:t>
      </w:r>
      <w:r w:rsidR="00693F22" w:rsidRPr="00877C7B">
        <w:rPr>
          <w:rFonts w:cstheme="minorHAnsi"/>
          <w:lang w:val="ka-GE"/>
        </w:rPr>
        <w:t>“</w:t>
      </w:r>
      <w:r w:rsidR="00D62882" w:rsidRPr="00877C7B">
        <w:rPr>
          <w:rFonts w:cstheme="minorHAnsi"/>
          <w:lang w:val="ka-GE"/>
        </w:rPr>
        <w:t>.</w:t>
      </w:r>
      <w:r w:rsidR="003C6E85" w:rsidRPr="00877C7B">
        <w:rPr>
          <w:rFonts w:cstheme="minorHAnsi"/>
          <w:lang w:val="ka-GE"/>
        </w:rPr>
        <w:t xml:space="preserve"> </w:t>
      </w:r>
    </w:p>
    <w:p w:rsidR="003C6E85" w:rsidRPr="00877C7B" w:rsidRDefault="003C6E85" w:rsidP="00877C7B">
      <w:pPr>
        <w:pStyle w:val="NoSpacing"/>
        <w:spacing w:line="276" w:lineRule="auto"/>
        <w:ind w:firstLine="720"/>
        <w:jc w:val="both"/>
        <w:rPr>
          <w:rFonts w:cstheme="minorHAnsi"/>
          <w:lang w:val="ka-GE"/>
        </w:rPr>
      </w:pPr>
      <w:r w:rsidRPr="00877C7B">
        <w:rPr>
          <w:rFonts w:cstheme="minorHAnsi"/>
        </w:rPr>
        <w:t>During the preparation of primary version of the 202</w:t>
      </w:r>
      <w:r w:rsidRPr="00877C7B">
        <w:rPr>
          <w:rFonts w:cstheme="minorHAnsi"/>
          <w:lang w:val="ka-GE"/>
        </w:rPr>
        <w:t>1</w:t>
      </w:r>
      <w:r w:rsidRPr="00877C7B">
        <w:rPr>
          <w:rFonts w:cstheme="minorHAnsi"/>
        </w:rPr>
        <w:t>-2024 Basic Data and Directions (BDD) document, analysis of medium-term forecast reconciliation was submitted to the government of Georgia, where primary forecasts of 2021-2024 were compared to the attached tables of 2020 budget law</w:t>
      </w:r>
      <w:r w:rsidRPr="00877C7B">
        <w:rPr>
          <w:rStyle w:val="FootnoteReference"/>
          <w:rFonts w:cstheme="minorHAnsi"/>
        </w:rPr>
        <w:footnoteReference w:id="1"/>
      </w:r>
      <w:r w:rsidRPr="00877C7B">
        <w:rPr>
          <w:rFonts w:cstheme="minorHAnsi"/>
        </w:rPr>
        <w:t xml:space="preserve">. </w:t>
      </w:r>
    </w:p>
    <w:p w:rsidR="00877C7B" w:rsidRPr="00877C7B" w:rsidRDefault="00061782" w:rsidP="00877C7B">
      <w:pPr>
        <w:pStyle w:val="NoSpacing"/>
        <w:spacing w:line="276" w:lineRule="auto"/>
        <w:jc w:val="both"/>
        <w:rPr>
          <w:rFonts w:cstheme="minorHAnsi"/>
        </w:rPr>
      </w:pPr>
      <w:r w:rsidRPr="00877C7B">
        <w:rPr>
          <w:rFonts w:cstheme="minorHAnsi"/>
        </w:rPr>
        <w:t xml:space="preserve">In July 2020, changes </w:t>
      </w:r>
      <w:r w:rsidR="00591EC2" w:rsidRPr="00877C7B">
        <w:rPr>
          <w:rFonts w:cstheme="minorHAnsi"/>
        </w:rPr>
        <w:t>made during the updating forecasts were caused</w:t>
      </w:r>
      <w:r w:rsidR="003C7EC6" w:rsidRPr="00877C7B">
        <w:rPr>
          <w:rFonts w:cstheme="minorHAnsi"/>
        </w:rPr>
        <w:t xml:space="preserve"> mainly by the spread of new c</w:t>
      </w:r>
      <w:r w:rsidR="00591EC2" w:rsidRPr="00877C7B">
        <w:rPr>
          <w:rFonts w:cstheme="minorHAnsi"/>
        </w:rPr>
        <w:t>oronavirus (COVID-19) all over the world</w:t>
      </w:r>
      <w:r w:rsidR="00CE55FD" w:rsidRPr="00877C7B">
        <w:rPr>
          <w:rFonts w:cstheme="minorHAnsi"/>
        </w:rPr>
        <w:t>, during the end of 2019</w:t>
      </w:r>
      <w:r w:rsidR="00591EC2" w:rsidRPr="00877C7B">
        <w:rPr>
          <w:rFonts w:cstheme="minorHAnsi"/>
        </w:rPr>
        <w:t xml:space="preserve">, which changed global economic development tendency significantly. As for October, </w:t>
      </w:r>
      <w:r w:rsidR="000342E8" w:rsidRPr="00877C7B">
        <w:rPr>
          <w:rFonts w:cstheme="minorHAnsi"/>
        </w:rPr>
        <w:t xml:space="preserve">the </w:t>
      </w:r>
      <w:r w:rsidR="00685693" w:rsidRPr="00877C7B">
        <w:rPr>
          <w:rFonts w:cstheme="minorHAnsi"/>
        </w:rPr>
        <w:t>International Monetary Fund decreased the global economic growth projection for 2020 to -4.4 percent</w:t>
      </w:r>
      <w:r w:rsidR="003C7EC6" w:rsidRPr="00877C7B">
        <w:rPr>
          <w:rFonts w:cstheme="minorHAnsi"/>
        </w:rPr>
        <w:t xml:space="preserve"> in the updated “world economic outlook”</w:t>
      </w:r>
      <w:r w:rsidR="00685693" w:rsidRPr="00877C7B">
        <w:rPr>
          <w:rFonts w:cstheme="minorHAnsi"/>
        </w:rPr>
        <w:t xml:space="preserve">. </w:t>
      </w:r>
      <w:r w:rsidR="002D3EA6" w:rsidRPr="00877C7B">
        <w:rPr>
          <w:rFonts w:cstheme="minorHAnsi"/>
        </w:rPr>
        <w:t xml:space="preserve">Hence, pandemic and the related </w:t>
      </w:r>
      <w:r w:rsidR="00CE55FD" w:rsidRPr="00877C7B">
        <w:rPr>
          <w:rFonts w:cstheme="minorHAnsi"/>
        </w:rPr>
        <w:t xml:space="preserve">economic </w:t>
      </w:r>
      <w:r w:rsidR="002D3EA6" w:rsidRPr="00877C7B">
        <w:rPr>
          <w:rFonts w:cstheme="minorHAnsi"/>
        </w:rPr>
        <w:t xml:space="preserve">recession affected on the </w:t>
      </w:r>
      <w:r w:rsidR="00CE55FD" w:rsidRPr="00877C7B">
        <w:rPr>
          <w:rFonts w:cstheme="minorHAnsi"/>
        </w:rPr>
        <w:t xml:space="preserve">budget </w:t>
      </w:r>
      <w:r w:rsidR="002D3EA6" w:rsidRPr="00877C7B">
        <w:rPr>
          <w:rFonts w:cstheme="minorHAnsi"/>
        </w:rPr>
        <w:t>revenue side</w:t>
      </w:r>
      <w:r w:rsidR="00D71B56" w:rsidRPr="00877C7B">
        <w:rPr>
          <w:rFonts w:cstheme="minorHAnsi"/>
        </w:rPr>
        <w:t>,</w:t>
      </w:r>
      <w:r w:rsidR="002D3EA6" w:rsidRPr="00877C7B">
        <w:rPr>
          <w:rFonts w:cstheme="minorHAnsi"/>
        </w:rPr>
        <w:t xml:space="preserve"> as well as the expenditure side. Moreover, there were included the actual </w:t>
      </w:r>
      <w:r w:rsidR="00D71B56" w:rsidRPr="00877C7B">
        <w:rPr>
          <w:rFonts w:cstheme="minorHAnsi"/>
        </w:rPr>
        <w:t>data</w:t>
      </w:r>
      <w:r w:rsidR="002D3EA6" w:rsidRPr="00877C7B">
        <w:rPr>
          <w:rFonts w:cstheme="minorHAnsi"/>
        </w:rPr>
        <w:t xml:space="preserve"> </w:t>
      </w:r>
      <w:r w:rsidR="00D71B56" w:rsidRPr="00877C7B">
        <w:rPr>
          <w:rFonts w:cstheme="minorHAnsi"/>
        </w:rPr>
        <w:t xml:space="preserve">of 2019 instead of the expected values, </w:t>
      </w:r>
      <w:r w:rsidR="002D3EA6" w:rsidRPr="00877C7B">
        <w:rPr>
          <w:rFonts w:cstheme="minorHAnsi"/>
        </w:rPr>
        <w:t>which influenced on</w:t>
      </w:r>
      <w:r w:rsidR="00521A52" w:rsidRPr="00877C7B">
        <w:rPr>
          <w:rFonts w:cstheme="minorHAnsi"/>
        </w:rPr>
        <w:t xml:space="preserve"> the medium-term</w:t>
      </w:r>
      <w:r w:rsidR="002D3EA6" w:rsidRPr="00877C7B">
        <w:rPr>
          <w:rFonts w:cstheme="minorHAnsi"/>
        </w:rPr>
        <w:t xml:space="preserve">. </w:t>
      </w:r>
    </w:p>
    <w:p w:rsidR="002D3EA6" w:rsidRPr="00877C7B" w:rsidRDefault="002D3EA6" w:rsidP="00877C7B">
      <w:pPr>
        <w:pStyle w:val="NoSpacing"/>
        <w:spacing w:line="276" w:lineRule="auto"/>
        <w:ind w:firstLine="720"/>
        <w:jc w:val="both"/>
        <w:rPr>
          <w:rFonts w:cstheme="minorHAnsi"/>
        </w:rPr>
      </w:pPr>
      <w:r w:rsidRPr="00877C7B">
        <w:rPr>
          <w:rFonts w:cstheme="minorHAnsi"/>
        </w:rPr>
        <w:t>The updated forecast represented in the tables is compared to t</w:t>
      </w:r>
      <w:r w:rsidR="00201945" w:rsidRPr="00877C7B">
        <w:rPr>
          <w:rFonts w:cstheme="minorHAnsi"/>
        </w:rPr>
        <w:t>he tables attached to the 2020 state</w:t>
      </w:r>
      <w:r w:rsidRPr="00877C7B">
        <w:rPr>
          <w:rFonts w:cstheme="minorHAnsi"/>
        </w:rPr>
        <w:t xml:space="preserve"> budget law. </w:t>
      </w:r>
      <w:r w:rsidR="00521A52" w:rsidRPr="00877C7B">
        <w:rPr>
          <w:rFonts w:cstheme="minorHAnsi"/>
        </w:rPr>
        <w:t xml:space="preserve">Several factors contributed </w:t>
      </w:r>
      <w:r w:rsidR="000342E8" w:rsidRPr="00877C7B">
        <w:rPr>
          <w:rFonts w:cstheme="minorHAnsi"/>
        </w:rPr>
        <w:t>to</w:t>
      </w:r>
      <w:r w:rsidR="00521A52" w:rsidRPr="00877C7B">
        <w:rPr>
          <w:rFonts w:cstheme="minorHAnsi"/>
        </w:rPr>
        <w:t xml:space="preserve"> the change </w:t>
      </w:r>
      <w:r w:rsidR="000342E8" w:rsidRPr="00877C7B">
        <w:rPr>
          <w:rFonts w:cstheme="minorHAnsi"/>
        </w:rPr>
        <w:t>in</w:t>
      </w:r>
      <w:r w:rsidR="00521A52" w:rsidRPr="00877C7B">
        <w:rPr>
          <w:rFonts w:cstheme="minorHAnsi"/>
        </w:rPr>
        <w:t xml:space="preserve"> forecasts. One of the</w:t>
      </w:r>
      <w:r w:rsidR="00F35872" w:rsidRPr="00877C7B">
        <w:rPr>
          <w:rFonts w:cstheme="minorHAnsi"/>
        </w:rPr>
        <w:t>m</w:t>
      </w:r>
      <w:r w:rsidR="00AE1B5E" w:rsidRPr="00877C7B">
        <w:rPr>
          <w:rFonts w:cstheme="minorHAnsi"/>
        </w:rPr>
        <w:t xml:space="preserve"> was to observe actual figures </w:t>
      </w:r>
      <w:r w:rsidR="00521A52" w:rsidRPr="00877C7B">
        <w:rPr>
          <w:rFonts w:cstheme="minorHAnsi"/>
        </w:rPr>
        <w:t>for the last year instead of estimations</w:t>
      </w:r>
      <w:r w:rsidR="000342E8" w:rsidRPr="00877C7B">
        <w:rPr>
          <w:rFonts w:cstheme="minorHAnsi"/>
        </w:rPr>
        <w:t>, which</w:t>
      </w:r>
      <w:r w:rsidR="00521A52" w:rsidRPr="00877C7B">
        <w:rPr>
          <w:rFonts w:cstheme="minorHAnsi"/>
        </w:rPr>
        <w:t xml:space="preserve"> has an impact on the entire medium-term period. </w:t>
      </w:r>
      <w:r w:rsidR="00F35872" w:rsidRPr="00877C7B">
        <w:rPr>
          <w:rFonts w:cstheme="minorHAnsi"/>
        </w:rPr>
        <w:t xml:space="preserve">The </w:t>
      </w:r>
      <w:r w:rsidR="0011650A" w:rsidRPr="00877C7B">
        <w:rPr>
          <w:rFonts w:cstheme="minorHAnsi"/>
        </w:rPr>
        <w:t xml:space="preserve">most important impact on the forecasting indicators was coming from the coronavirus (COVID-19) pandemic, the closure of borders and the supply-chain </w:t>
      </w:r>
      <w:r w:rsidR="00FF671D" w:rsidRPr="00877C7B">
        <w:rPr>
          <w:rFonts w:cstheme="minorHAnsi"/>
        </w:rPr>
        <w:t>disruptions</w:t>
      </w:r>
      <w:r w:rsidR="00D71B56" w:rsidRPr="00877C7B">
        <w:rPr>
          <w:rFonts w:cstheme="minorHAnsi"/>
        </w:rPr>
        <w:t>,</w:t>
      </w:r>
      <w:r w:rsidR="0011650A" w:rsidRPr="00877C7B">
        <w:rPr>
          <w:rFonts w:cstheme="minorHAnsi"/>
        </w:rPr>
        <w:t xml:space="preserve"> economic growth projections have decreased significantly around the world, and in Georgia as well. </w:t>
      </w:r>
      <w:r w:rsidR="00194F87" w:rsidRPr="00877C7B">
        <w:rPr>
          <w:rFonts w:cstheme="minorHAnsi"/>
        </w:rPr>
        <w:t>Based on an analysis of current trends</w:t>
      </w:r>
      <w:r w:rsidR="00D71B56" w:rsidRPr="00877C7B">
        <w:rPr>
          <w:rFonts w:cstheme="minorHAnsi"/>
        </w:rPr>
        <w:t xml:space="preserve">, as a result of </w:t>
      </w:r>
      <w:r w:rsidR="00194F87" w:rsidRPr="00877C7B">
        <w:rPr>
          <w:rFonts w:cstheme="minorHAnsi"/>
        </w:rPr>
        <w:t xml:space="preserve">the consultations with various international organizations and </w:t>
      </w:r>
      <w:r w:rsidR="00AE1B5E" w:rsidRPr="00877C7B">
        <w:rPr>
          <w:rFonts w:cstheme="minorHAnsi"/>
        </w:rPr>
        <w:t xml:space="preserve">discussions with </w:t>
      </w:r>
      <w:r w:rsidR="00D71B56" w:rsidRPr="00877C7B">
        <w:rPr>
          <w:rFonts w:cstheme="minorHAnsi"/>
        </w:rPr>
        <w:t xml:space="preserve">the </w:t>
      </w:r>
      <w:r w:rsidR="00194F87" w:rsidRPr="00877C7B">
        <w:rPr>
          <w:rFonts w:cstheme="minorHAnsi"/>
        </w:rPr>
        <w:t>IMF mission</w:t>
      </w:r>
      <w:r w:rsidR="00AE1B5E" w:rsidRPr="00877C7B">
        <w:rPr>
          <w:rFonts w:cstheme="minorHAnsi"/>
        </w:rPr>
        <w:t>s</w:t>
      </w:r>
      <w:r w:rsidR="00194F87" w:rsidRPr="00877C7B">
        <w:rPr>
          <w:rFonts w:cstheme="minorHAnsi"/>
        </w:rPr>
        <w:t>, some ke</w:t>
      </w:r>
      <w:r w:rsidR="008542D4" w:rsidRPr="00877C7B">
        <w:rPr>
          <w:rFonts w:cstheme="minorHAnsi"/>
        </w:rPr>
        <w:t>y</w:t>
      </w:r>
      <w:r w:rsidR="00194F87" w:rsidRPr="00877C7B">
        <w:rPr>
          <w:rFonts w:cstheme="minorHAnsi"/>
        </w:rPr>
        <w:t xml:space="preserve"> assumptions </w:t>
      </w:r>
      <w:r w:rsidR="00AE1B5E" w:rsidRPr="00877C7B">
        <w:rPr>
          <w:rFonts w:cstheme="minorHAnsi"/>
        </w:rPr>
        <w:t>have</w:t>
      </w:r>
      <w:r w:rsidR="00194F87" w:rsidRPr="00877C7B">
        <w:rPr>
          <w:rFonts w:cstheme="minorHAnsi"/>
        </w:rPr>
        <w:t xml:space="preserve"> also </w:t>
      </w:r>
      <w:r w:rsidR="00AE1B5E" w:rsidRPr="00877C7B">
        <w:rPr>
          <w:rFonts w:cstheme="minorHAnsi"/>
        </w:rPr>
        <w:t xml:space="preserve">been </w:t>
      </w:r>
      <w:r w:rsidR="00194F87" w:rsidRPr="00877C7B">
        <w:rPr>
          <w:rFonts w:cstheme="minorHAnsi"/>
        </w:rPr>
        <w:t xml:space="preserve">revised. </w:t>
      </w:r>
    </w:p>
    <w:p w:rsidR="00877C7B" w:rsidRPr="00877C7B" w:rsidRDefault="00877C7B" w:rsidP="00877C7B">
      <w:pPr>
        <w:pStyle w:val="NoSpacing"/>
        <w:ind w:firstLine="720"/>
        <w:jc w:val="both"/>
        <w:rPr>
          <w:rFonts w:cstheme="minorHAnsi"/>
        </w:rPr>
      </w:pPr>
    </w:p>
    <w:tbl>
      <w:tblPr>
        <w:tblStyle w:val="TableGrid"/>
        <w:tblW w:w="9972" w:type="dxa"/>
        <w:tblBorders>
          <w:insideH w:val="none" w:sz="0" w:space="0" w:color="auto"/>
        </w:tblBorders>
        <w:tblLook w:val="04A0" w:firstRow="1" w:lastRow="0" w:firstColumn="1" w:lastColumn="0" w:noHBand="0" w:noVBand="1"/>
      </w:tblPr>
      <w:tblGrid>
        <w:gridCol w:w="4315"/>
        <w:gridCol w:w="731"/>
        <w:gridCol w:w="1012"/>
        <w:gridCol w:w="935"/>
        <w:gridCol w:w="979"/>
        <w:gridCol w:w="993"/>
        <w:gridCol w:w="1007"/>
      </w:tblGrid>
      <w:tr w:rsidR="008542D4" w:rsidRPr="00877C7B" w:rsidTr="005C2194">
        <w:trPr>
          <w:trHeight w:val="113"/>
          <w:tblHeader/>
        </w:trPr>
        <w:tc>
          <w:tcPr>
            <w:tcW w:w="4315" w:type="dxa"/>
            <w:tcBorders>
              <w:top w:val="single" w:sz="4" w:space="0" w:color="auto"/>
              <w:bottom w:val="single" w:sz="4" w:space="0" w:color="auto"/>
            </w:tcBorders>
            <w:noWrap/>
            <w:vAlign w:val="center"/>
            <w:hideMark/>
          </w:tcPr>
          <w:p w:rsidR="008542D4" w:rsidRPr="00877C7B" w:rsidRDefault="008542D4" w:rsidP="005B515A">
            <w:pPr>
              <w:rPr>
                <w:rFonts w:eastAsia="Times New Roman" w:cstheme="minorHAnsi"/>
                <w:b/>
                <w:bCs/>
                <w:color w:val="000000"/>
                <w:sz w:val="20"/>
                <w:szCs w:val="18"/>
              </w:rPr>
            </w:pPr>
          </w:p>
          <w:p w:rsidR="008542D4" w:rsidRPr="00877C7B" w:rsidRDefault="008542D4" w:rsidP="005B515A">
            <w:pPr>
              <w:rPr>
                <w:rFonts w:eastAsia="Times New Roman" w:cstheme="minorHAnsi"/>
                <w:b/>
                <w:bCs/>
                <w:color w:val="000000"/>
                <w:sz w:val="20"/>
                <w:szCs w:val="18"/>
              </w:rPr>
            </w:pPr>
            <w:r w:rsidRPr="00877C7B">
              <w:rPr>
                <w:rFonts w:eastAsia="Times New Roman" w:cstheme="minorHAnsi"/>
                <w:b/>
                <w:bCs/>
                <w:color w:val="000000"/>
                <w:sz w:val="20"/>
                <w:szCs w:val="20"/>
              </w:rPr>
              <w:t xml:space="preserve">Table </w:t>
            </w:r>
            <w:r w:rsidRPr="00877C7B">
              <w:rPr>
                <w:rFonts w:eastAsia="Times New Roman" w:cstheme="minorHAnsi"/>
                <w:b/>
                <w:bCs/>
                <w:color w:val="000000"/>
                <w:sz w:val="20"/>
              </w:rPr>
              <w:t>1. Basic Expectations and Assumptions</w:t>
            </w:r>
          </w:p>
        </w:tc>
        <w:tc>
          <w:tcPr>
            <w:tcW w:w="731"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1012"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935"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979"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993"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1007" w:type="dxa"/>
            <w:tcBorders>
              <w:top w:val="single" w:sz="4" w:space="0" w:color="auto"/>
              <w:bottom w:val="single" w:sz="4" w:space="0" w:color="auto"/>
            </w:tcBorders>
            <w:noWrap/>
            <w:vAlign w:val="center"/>
            <w:hideMark/>
          </w:tcPr>
          <w:p w:rsidR="008542D4" w:rsidRPr="00877C7B" w:rsidRDefault="008542D4" w:rsidP="008542D4">
            <w:pPr>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8542D4" w:rsidRPr="00877C7B" w:rsidTr="00C12FA5">
        <w:trPr>
          <w:trHeight w:val="113"/>
        </w:trPr>
        <w:tc>
          <w:tcPr>
            <w:tcW w:w="4315" w:type="dxa"/>
            <w:tcBorders>
              <w:top w:val="single" w:sz="4" w:space="0" w:color="auto"/>
              <w:bottom w:val="single" w:sz="4" w:space="0" w:color="auto"/>
            </w:tcBorders>
            <w:noWrap/>
            <w:vAlign w:val="center"/>
          </w:tcPr>
          <w:p w:rsidR="008542D4" w:rsidRPr="00877C7B" w:rsidRDefault="008542D4" w:rsidP="008542D4">
            <w:pPr>
              <w:rPr>
                <w:rFonts w:eastAsia="Times New Roman" w:cstheme="minorHAnsi"/>
                <w:b/>
                <w:bCs/>
                <w:color w:val="000000"/>
                <w:sz w:val="20"/>
                <w:szCs w:val="18"/>
              </w:rPr>
            </w:pPr>
          </w:p>
        </w:tc>
        <w:tc>
          <w:tcPr>
            <w:tcW w:w="731" w:type="dxa"/>
            <w:tcBorders>
              <w:top w:val="single" w:sz="4" w:space="0" w:color="auto"/>
              <w:bottom w:val="single" w:sz="4" w:space="0" w:color="auto"/>
            </w:tcBorders>
            <w:noWrap/>
            <w:vAlign w:val="bottom"/>
          </w:tcPr>
          <w:p w:rsidR="008542D4" w:rsidRPr="00877C7B" w:rsidRDefault="008542D4" w:rsidP="008542D4">
            <w:pPr>
              <w:jc w:val="right"/>
              <w:rPr>
                <w:rFonts w:eastAsia="Times New Roman" w:cstheme="minorHAnsi"/>
                <w:color w:val="000000"/>
              </w:rPr>
            </w:pPr>
            <w:r w:rsidRPr="00877C7B">
              <w:rPr>
                <w:rFonts w:eastAsia="Times New Roman" w:cstheme="minorHAnsi"/>
                <w:color w:val="000000"/>
                <w:sz w:val="20"/>
                <w:szCs w:val="20"/>
              </w:rPr>
              <w:t>Actual</w:t>
            </w:r>
          </w:p>
        </w:tc>
        <w:tc>
          <w:tcPr>
            <w:tcW w:w="1012" w:type="dxa"/>
            <w:tcBorders>
              <w:top w:val="single" w:sz="4" w:space="0" w:color="auto"/>
              <w:bottom w:val="single" w:sz="4" w:space="0" w:color="auto"/>
            </w:tcBorders>
            <w:noWrap/>
            <w:vAlign w:val="center"/>
          </w:tcPr>
          <w:p w:rsidR="008542D4" w:rsidRPr="00877C7B" w:rsidRDefault="008542D4" w:rsidP="008542D4">
            <w:pPr>
              <w:jc w:val="center"/>
              <w:rPr>
                <w:rFonts w:eastAsia="Times New Roman" w:cstheme="minorHAnsi"/>
                <w:b/>
                <w:bCs/>
                <w:color w:val="000000"/>
                <w:sz w:val="18"/>
                <w:szCs w:val="18"/>
              </w:rPr>
            </w:pPr>
            <w:r w:rsidRPr="00877C7B">
              <w:rPr>
                <w:rFonts w:eastAsia="Times New Roman" w:cstheme="minorHAnsi"/>
                <w:color w:val="000000"/>
                <w:sz w:val="20"/>
                <w:szCs w:val="20"/>
              </w:rPr>
              <w:t>Expected</w:t>
            </w:r>
          </w:p>
        </w:tc>
        <w:tc>
          <w:tcPr>
            <w:tcW w:w="935" w:type="dxa"/>
            <w:tcBorders>
              <w:top w:val="single" w:sz="4" w:space="0" w:color="auto"/>
              <w:bottom w:val="single" w:sz="4" w:space="0" w:color="auto"/>
            </w:tcBorders>
            <w:noWrap/>
            <w:vAlign w:val="center"/>
          </w:tcPr>
          <w:p w:rsidR="008542D4" w:rsidRPr="00877C7B" w:rsidRDefault="008542D4" w:rsidP="008542D4">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79" w:type="dxa"/>
            <w:tcBorders>
              <w:top w:val="single" w:sz="4" w:space="0" w:color="auto"/>
              <w:bottom w:val="single" w:sz="4" w:space="0" w:color="auto"/>
            </w:tcBorders>
            <w:noWrap/>
            <w:vAlign w:val="center"/>
          </w:tcPr>
          <w:p w:rsidR="008542D4" w:rsidRPr="00877C7B" w:rsidRDefault="008542D4" w:rsidP="008542D4">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3" w:type="dxa"/>
            <w:tcBorders>
              <w:top w:val="single" w:sz="4" w:space="0" w:color="auto"/>
              <w:bottom w:val="single" w:sz="4" w:space="0" w:color="auto"/>
            </w:tcBorders>
            <w:noWrap/>
            <w:vAlign w:val="center"/>
          </w:tcPr>
          <w:p w:rsidR="008542D4" w:rsidRPr="00877C7B" w:rsidRDefault="008542D4" w:rsidP="008542D4">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1007" w:type="dxa"/>
            <w:tcBorders>
              <w:top w:val="single" w:sz="4" w:space="0" w:color="auto"/>
              <w:bottom w:val="single" w:sz="4" w:space="0" w:color="auto"/>
            </w:tcBorders>
            <w:noWrap/>
            <w:vAlign w:val="center"/>
          </w:tcPr>
          <w:p w:rsidR="008542D4" w:rsidRPr="00877C7B" w:rsidRDefault="008542D4" w:rsidP="008542D4">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r>
      <w:tr w:rsidR="00C12FA5" w:rsidRPr="00877C7B" w:rsidTr="00C12FA5">
        <w:trPr>
          <w:trHeight w:val="113"/>
        </w:trPr>
        <w:tc>
          <w:tcPr>
            <w:tcW w:w="4315" w:type="dxa"/>
            <w:tcBorders>
              <w:top w:val="single" w:sz="4" w:space="0" w:color="auto"/>
            </w:tcBorders>
            <w:noWrap/>
            <w:vAlign w:val="bottom"/>
            <w:hideMark/>
          </w:tcPr>
          <w:p w:rsidR="00C12FA5" w:rsidRPr="00877C7B" w:rsidRDefault="00C12FA5" w:rsidP="00C12FA5">
            <w:pPr>
              <w:rPr>
                <w:rFonts w:eastAsia="Times New Roman" w:cstheme="minorHAnsi"/>
                <w:b/>
                <w:color w:val="000000"/>
                <w:sz w:val="20"/>
              </w:rPr>
            </w:pPr>
            <w:r w:rsidRPr="00877C7B">
              <w:rPr>
                <w:rFonts w:eastAsia="Times New Roman" w:cstheme="minorHAnsi"/>
                <w:b/>
                <w:color w:val="000000"/>
                <w:sz w:val="20"/>
                <w:szCs w:val="20"/>
              </w:rPr>
              <w:t>Growth of Real GDP,</w:t>
            </w:r>
            <w:r w:rsidRPr="00877C7B">
              <w:rPr>
                <w:rFonts w:eastAsia="Times New Roman" w:cstheme="minorHAnsi"/>
                <w:b/>
                <w:color w:val="000000"/>
                <w:sz w:val="20"/>
              </w:rPr>
              <w:t xml:space="preserve"> %</w:t>
            </w:r>
          </w:p>
        </w:tc>
        <w:tc>
          <w:tcPr>
            <w:tcW w:w="731"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c>
          <w:tcPr>
            <w:tcW w:w="1012"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c>
          <w:tcPr>
            <w:tcW w:w="935"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c>
          <w:tcPr>
            <w:tcW w:w="979"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c>
          <w:tcPr>
            <w:tcW w:w="993"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c>
          <w:tcPr>
            <w:tcW w:w="1007" w:type="dxa"/>
            <w:tcBorders>
              <w:top w:val="single" w:sz="4" w:space="0" w:color="auto"/>
            </w:tcBorders>
            <w:noWrap/>
            <w:vAlign w:val="center"/>
            <w:hideMark/>
          </w:tcPr>
          <w:p w:rsidR="00C12FA5" w:rsidRPr="00877C7B" w:rsidRDefault="00C12FA5" w:rsidP="00C12FA5">
            <w:pPr>
              <w:jc w:val="center"/>
              <w:rPr>
                <w:rFonts w:eastAsia="Times New Roman" w:cstheme="minorHAnsi"/>
                <w:color w:val="000000"/>
                <w:sz w:val="18"/>
                <w:szCs w:val="18"/>
              </w:rPr>
            </w:pPr>
          </w:p>
        </w:tc>
      </w:tr>
      <w:tr w:rsidR="00C12FA5" w:rsidRPr="00877C7B" w:rsidTr="00C12FA5">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szCs w:val="20"/>
              </w:rPr>
            </w:pPr>
            <w:r w:rsidRPr="00877C7B">
              <w:rPr>
                <w:rFonts w:eastAsia="Times New Roman" w:cstheme="minorHAnsi"/>
                <w:color w:val="000000"/>
                <w:sz w:val="20"/>
                <w:szCs w:val="20"/>
              </w:rPr>
              <w:t>Previous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4.8%</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4.5%</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5.0%</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5.0%</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5.5%</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w:t>
            </w:r>
          </w:p>
        </w:tc>
      </w:tr>
      <w:tr w:rsidR="00C12FA5" w:rsidRPr="00877C7B" w:rsidTr="00C12FA5">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rPr>
            </w:pPr>
            <w:r w:rsidRPr="00877C7B">
              <w:rPr>
                <w:rFonts w:eastAsia="Times New Roman" w:cstheme="minorHAnsi"/>
                <w:color w:val="000000"/>
                <w:sz w:val="20"/>
                <w:szCs w:val="20"/>
              </w:rPr>
              <w:t>Updated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5.0%</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-5.0%</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4.3%</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5.8%</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5.5%</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5.2%</w:t>
            </w:r>
          </w:p>
        </w:tc>
      </w:tr>
      <w:tr w:rsidR="008542D4" w:rsidRPr="00877C7B" w:rsidTr="00C12FA5">
        <w:trPr>
          <w:trHeight w:val="113"/>
        </w:trPr>
        <w:tc>
          <w:tcPr>
            <w:tcW w:w="4315" w:type="dxa"/>
            <w:noWrap/>
            <w:vAlign w:val="center"/>
            <w:hideMark/>
          </w:tcPr>
          <w:p w:rsidR="008542D4" w:rsidRPr="00877C7B" w:rsidRDefault="00C12FA5" w:rsidP="008542D4">
            <w:pPr>
              <w:rPr>
                <w:rFonts w:eastAsia="Times New Roman" w:cstheme="minorHAnsi"/>
                <w:color w:val="000000"/>
                <w:sz w:val="20"/>
                <w:szCs w:val="18"/>
              </w:rPr>
            </w:pPr>
            <w:r w:rsidRPr="00877C7B">
              <w:rPr>
                <w:rFonts w:eastAsia="Times New Roman" w:cstheme="minorHAnsi"/>
                <w:color w:val="000000"/>
                <w:sz w:val="20"/>
                <w:szCs w:val="20"/>
              </w:rPr>
              <w:t>Difference</w:t>
            </w:r>
          </w:p>
        </w:tc>
        <w:tc>
          <w:tcPr>
            <w:tcW w:w="731"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0.2%</w:t>
            </w:r>
          </w:p>
        </w:tc>
        <w:tc>
          <w:tcPr>
            <w:tcW w:w="1012"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-9.5%</w:t>
            </w:r>
          </w:p>
        </w:tc>
        <w:tc>
          <w:tcPr>
            <w:tcW w:w="935"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-0.7%</w:t>
            </w:r>
          </w:p>
        </w:tc>
        <w:tc>
          <w:tcPr>
            <w:tcW w:w="979"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0.8%</w:t>
            </w:r>
          </w:p>
        </w:tc>
        <w:tc>
          <w:tcPr>
            <w:tcW w:w="993"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0.0%</w:t>
            </w:r>
          </w:p>
        </w:tc>
        <w:tc>
          <w:tcPr>
            <w:tcW w:w="1007" w:type="dxa"/>
            <w:noWrap/>
            <w:vAlign w:val="center"/>
            <w:hideMark/>
          </w:tcPr>
          <w:p w:rsidR="008542D4" w:rsidRPr="00877C7B" w:rsidRDefault="008542D4" w:rsidP="008542D4">
            <w:pPr>
              <w:jc w:val="center"/>
              <w:rPr>
                <w:rFonts w:eastAsia="Times New Roman" w:cstheme="minorHAnsi"/>
                <w:color w:val="000000"/>
                <w:sz w:val="18"/>
                <w:szCs w:val="18"/>
              </w:rPr>
            </w:pPr>
            <w:r w:rsidRPr="00877C7B">
              <w:rPr>
                <w:rFonts w:eastAsia="Times New Roman" w:cstheme="minorHAnsi"/>
                <w:color w:val="000000"/>
                <w:sz w:val="18"/>
                <w:szCs w:val="18"/>
              </w:rPr>
              <w:t>5.2%</w:t>
            </w:r>
          </w:p>
        </w:tc>
      </w:tr>
      <w:tr w:rsidR="008542D4" w:rsidRPr="00877C7B" w:rsidTr="00C12FA5">
        <w:trPr>
          <w:trHeight w:val="113"/>
        </w:trPr>
        <w:tc>
          <w:tcPr>
            <w:tcW w:w="4315" w:type="dxa"/>
            <w:noWrap/>
            <w:vAlign w:val="center"/>
            <w:hideMark/>
          </w:tcPr>
          <w:p w:rsidR="008542D4" w:rsidRPr="00877C7B" w:rsidRDefault="00C12FA5" w:rsidP="008542D4">
            <w:pPr>
              <w:rPr>
                <w:rFonts w:eastAsia="Times New Roman" w:cstheme="minorHAnsi"/>
                <w:b/>
                <w:bCs/>
                <w:color w:val="000000"/>
                <w:sz w:val="20"/>
                <w:szCs w:val="18"/>
              </w:rPr>
            </w:pPr>
            <w:r w:rsidRPr="00877C7B">
              <w:rPr>
                <w:rFonts w:eastAsia="Times New Roman" w:cstheme="minorHAnsi"/>
                <w:b/>
                <w:color w:val="000000"/>
                <w:sz w:val="20"/>
                <w:szCs w:val="20"/>
              </w:rPr>
              <w:t>Percentage Change of GDP Deflator</w:t>
            </w:r>
          </w:p>
        </w:tc>
        <w:tc>
          <w:tcPr>
            <w:tcW w:w="731" w:type="dxa"/>
            <w:noWrap/>
            <w:vAlign w:val="center"/>
            <w:hideMark/>
          </w:tcPr>
          <w:p w:rsidR="008542D4" w:rsidRPr="00877C7B" w:rsidRDefault="008542D4" w:rsidP="008542D4">
            <w:pPr>
              <w:jc w:val="center"/>
              <w:rPr>
                <w:rFonts w:eastAsia="Times New Roman" w:cstheme="minorHAnsi"/>
                <w:color w:val="000000"/>
                <w:sz w:val="18"/>
                <w:szCs w:val="18"/>
              </w:rPr>
            </w:pPr>
          </w:p>
        </w:tc>
        <w:tc>
          <w:tcPr>
            <w:tcW w:w="1012" w:type="dxa"/>
            <w:noWrap/>
            <w:vAlign w:val="center"/>
            <w:hideMark/>
          </w:tcPr>
          <w:p w:rsidR="008542D4" w:rsidRPr="00877C7B" w:rsidRDefault="008542D4" w:rsidP="008542D4">
            <w:pPr>
              <w:jc w:val="center"/>
              <w:rPr>
                <w:rFonts w:eastAsia="Times New Roman" w:cstheme="minorHAnsi"/>
                <w:color w:val="000000"/>
                <w:sz w:val="18"/>
                <w:szCs w:val="18"/>
              </w:rPr>
            </w:pPr>
          </w:p>
        </w:tc>
        <w:tc>
          <w:tcPr>
            <w:tcW w:w="935" w:type="dxa"/>
            <w:noWrap/>
            <w:vAlign w:val="center"/>
            <w:hideMark/>
          </w:tcPr>
          <w:p w:rsidR="008542D4" w:rsidRPr="00877C7B" w:rsidRDefault="008542D4" w:rsidP="008542D4">
            <w:pPr>
              <w:jc w:val="center"/>
              <w:rPr>
                <w:rFonts w:eastAsia="Times New Roman" w:cstheme="minorHAnsi"/>
                <w:color w:val="000000"/>
                <w:sz w:val="18"/>
                <w:szCs w:val="18"/>
              </w:rPr>
            </w:pPr>
          </w:p>
        </w:tc>
        <w:tc>
          <w:tcPr>
            <w:tcW w:w="979" w:type="dxa"/>
            <w:noWrap/>
            <w:vAlign w:val="center"/>
            <w:hideMark/>
          </w:tcPr>
          <w:p w:rsidR="008542D4" w:rsidRPr="00877C7B" w:rsidRDefault="008542D4" w:rsidP="008542D4">
            <w:pPr>
              <w:jc w:val="center"/>
              <w:rPr>
                <w:rFonts w:eastAsia="Times New Roman" w:cstheme="minorHAnsi"/>
                <w:color w:val="000000"/>
                <w:sz w:val="18"/>
                <w:szCs w:val="18"/>
              </w:rPr>
            </w:pPr>
          </w:p>
        </w:tc>
        <w:tc>
          <w:tcPr>
            <w:tcW w:w="993" w:type="dxa"/>
            <w:noWrap/>
            <w:vAlign w:val="center"/>
            <w:hideMark/>
          </w:tcPr>
          <w:p w:rsidR="008542D4" w:rsidRPr="00877C7B" w:rsidRDefault="008542D4" w:rsidP="008542D4">
            <w:pPr>
              <w:jc w:val="center"/>
              <w:rPr>
                <w:rFonts w:eastAsia="Times New Roman" w:cstheme="minorHAnsi"/>
                <w:color w:val="000000"/>
                <w:sz w:val="18"/>
                <w:szCs w:val="18"/>
              </w:rPr>
            </w:pPr>
          </w:p>
        </w:tc>
        <w:tc>
          <w:tcPr>
            <w:tcW w:w="1007" w:type="dxa"/>
            <w:noWrap/>
            <w:vAlign w:val="center"/>
            <w:hideMark/>
          </w:tcPr>
          <w:p w:rsidR="008542D4" w:rsidRPr="00877C7B" w:rsidRDefault="008542D4" w:rsidP="008542D4">
            <w:pPr>
              <w:jc w:val="center"/>
              <w:rPr>
                <w:rFonts w:eastAsia="Times New Roman" w:cstheme="minorHAnsi"/>
                <w:color w:val="000000"/>
                <w:sz w:val="18"/>
                <w:szCs w:val="18"/>
              </w:rPr>
            </w:pP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szCs w:val="20"/>
              </w:rPr>
            </w:pPr>
            <w:r w:rsidRPr="00877C7B">
              <w:rPr>
                <w:rFonts w:eastAsia="Times New Roman" w:cstheme="minorHAnsi"/>
                <w:color w:val="000000"/>
                <w:sz w:val="20"/>
                <w:szCs w:val="20"/>
              </w:rPr>
              <w:t>Previous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5.0%</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3.5%</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w:t>
            </w: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rPr>
            </w:pPr>
            <w:r w:rsidRPr="00877C7B">
              <w:rPr>
                <w:rFonts w:eastAsia="Times New Roman" w:cstheme="minorHAnsi"/>
                <w:color w:val="000000"/>
                <w:sz w:val="20"/>
                <w:szCs w:val="20"/>
              </w:rPr>
              <w:t>Updated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5.2%</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5.5%</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3.8%</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r>
      <w:tr w:rsidR="00C12FA5" w:rsidRPr="00877C7B" w:rsidTr="00C12FA5">
        <w:trPr>
          <w:trHeight w:val="113"/>
        </w:trPr>
        <w:tc>
          <w:tcPr>
            <w:tcW w:w="4315" w:type="dxa"/>
            <w:noWrap/>
            <w:vAlign w:val="center"/>
            <w:hideMark/>
          </w:tcPr>
          <w:p w:rsidR="00C12FA5" w:rsidRPr="00877C7B" w:rsidRDefault="00C12FA5" w:rsidP="00C12FA5">
            <w:pPr>
              <w:rPr>
                <w:rFonts w:eastAsia="Times New Roman" w:cstheme="minorHAnsi"/>
                <w:color w:val="000000"/>
                <w:sz w:val="20"/>
                <w:szCs w:val="18"/>
              </w:rPr>
            </w:pPr>
            <w:r w:rsidRPr="00877C7B">
              <w:rPr>
                <w:rFonts w:eastAsia="Times New Roman" w:cstheme="minorHAnsi"/>
                <w:color w:val="000000"/>
                <w:sz w:val="20"/>
                <w:szCs w:val="20"/>
              </w:rPr>
              <w:t>Difference</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0.2%</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2.0%</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0.8%</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0.0%</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0.0%</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3.0%</w:t>
            </w:r>
          </w:p>
        </w:tc>
      </w:tr>
      <w:tr w:rsidR="00C12FA5" w:rsidRPr="00877C7B" w:rsidTr="005B515A">
        <w:trPr>
          <w:trHeight w:val="113"/>
        </w:trPr>
        <w:tc>
          <w:tcPr>
            <w:tcW w:w="4315" w:type="dxa"/>
            <w:noWrap/>
            <w:vAlign w:val="bottom"/>
            <w:hideMark/>
          </w:tcPr>
          <w:p w:rsidR="00C12FA5" w:rsidRPr="00877C7B" w:rsidRDefault="00C12FA5" w:rsidP="007417A8">
            <w:pPr>
              <w:rPr>
                <w:rFonts w:eastAsia="Times New Roman" w:cstheme="minorHAnsi"/>
                <w:b/>
                <w:color w:val="000000"/>
                <w:sz w:val="20"/>
              </w:rPr>
            </w:pPr>
            <w:r w:rsidRPr="00877C7B">
              <w:rPr>
                <w:rFonts w:eastAsia="Times New Roman" w:cstheme="minorHAnsi"/>
                <w:b/>
                <w:color w:val="000000"/>
                <w:sz w:val="20"/>
                <w:szCs w:val="20"/>
              </w:rPr>
              <w:t xml:space="preserve">Interest Rates on </w:t>
            </w:r>
            <w:r w:rsidR="007417A8" w:rsidRPr="00877C7B">
              <w:rPr>
                <w:rFonts w:eastAsia="Times New Roman" w:cstheme="minorHAnsi"/>
                <w:b/>
                <w:color w:val="000000"/>
                <w:sz w:val="20"/>
                <w:szCs w:val="20"/>
              </w:rPr>
              <w:t>Loans</w:t>
            </w:r>
            <w:r w:rsidRPr="00877C7B">
              <w:rPr>
                <w:rFonts w:eastAsia="Times New Roman" w:cstheme="minorHAnsi"/>
                <w:b/>
                <w:color w:val="000000"/>
                <w:sz w:val="20"/>
                <w:szCs w:val="20"/>
              </w:rPr>
              <w:t xml:space="preserve">, </w:t>
            </w:r>
            <w:r w:rsidRPr="00877C7B">
              <w:rPr>
                <w:rFonts w:eastAsia="Times New Roman" w:cstheme="minorHAnsi"/>
                <w:b/>
                <w:color w:val="000000"/>
                <w:sz w:val="20"/>
              </w:rPr>
              <w: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szCs w:val="20"/>
                <w:lang w:val="ka-GE"/>
              </w:rPr>
            </w:pPr>
            <w:r w:rsidRPr="00877C7B">
              <w:rPr>
                <w:rFonts w:eastAsia="Times New Roman" w:cstheme="minorHAnsi"/>
                <w:color w:val="000000"/>
                <w:sz w:val="20"/>
                <w:szCs w:val="20"/>
              </w:rPr>
              <w:t>Previous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15.0%</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14.0%</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13.0%</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12.0%</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11.0%</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w:t>
            </w: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rPr>
            </w:pPr>
            <w:r w:rsidRPr="00877C7B">
              <w:rPr>
                <w:rFonts w:eastAsia="Times New Roman" w:cstheme="minorHAnsi"/>
                <w:color w:val="000000"/>
                <w:sz w:val="20"/>
                <w:szCs w:val="20"/>
              </w:rPr>
              <w:t>Updated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15.1%</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14.1%</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13.1%</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12.1%</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11.1%</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10.1%</w:t>
            </w:r>
          </w:p>
        </w:tc>
      </w:tr>
      <w:tr w:rsidR="00C12FA5" w:rsidRPr="00877C7B" w:rsidTr="00C12FA5">
        <w:trPr>
          <w:trHeight w:val="113"/>
        </w:trPr>
        <w:tc>
          <w:tcPr>
            <w:tcW w:w="4315" w:type="dxa"/>
            <w:noWrap/>
            <w:vAlign w:val="center"/>
            <w:hideMark/>
          </w:tcPr>
          <w:p w:rsidR="00C12FA5" w:rsidRPr="00877C7B" w:rsidRDefault="00C12FA5" w:rsidP="00C12FA5">
            <w:pPr>
              <w:rPr>
                <w:rFonts w:eastAsia="Times New Roman" w:cstheme="minorHAnsi"/>
                <w:color w:val="000000"/>
                <w:sz w:val="20"/>
                <w:szCs w:val="18"/>
              </w:rPr>
            </w:pPr>
            <w:r w:rsidRPr="00877C7B">
              <w:rPr>
                <w:rFonts w:eastAsia="Times New Roman" w:cstheme="minorHAnsi"/>
                <w:color w:val="000000"/>
                <w:sz w:val="20"/>
                <w:szCs w:val="20"/>
              </w:rPr>
              <w:t>Difference</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0.1%</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0.1%</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0.1%</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0.1%</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0.1%</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10.1%</w:t>
            </w:r>
          </w:p>
        </w:tc>
      </w:tr>
      <w:tr w:rsidR="008542D4" w:rsidRPr="00877C7B" w:rsidTr="00C12FA5">
        <w:trPr>
          <w:trHeight w:val="113"/>
        </w:trPr>
        <w:tc>
          <w:tcPr>
            <w:tcW w:w="4315" w:type="dxa"/>
            <w:noWrap/>
            <w:vAlign w:val="center"/>
            <w:hideMark/>
          </w:tcPr>
          <w:p w:rsidR="008542D4" w:rsidRPr="00877C7B" w:rsidRDefault="00C12FA5" w:rsidP="008542D4">
            <w:pPr>
              <w:rPr>
                <w:rFonts w:eastAsia="Times New Roman" w:cstheme="minorHAnsi"/>
                <w:b/>
                <w:bCs/>
                <w:color w:val="000000"/>
                <w:sz w:val="20"/>
                <w:szCs w:val="18"/>
              </w:rPr>
            </w:pPr>
            <w:r w:rsidRPr="00877C7B">
              <w:rPr>
                <w:rFonts w:eastAsia="Times New Roman" w:cstheme="minorHAnsi"/>
                <w:b/>
                <w:color w:val="000000"/>
                <w:sz w:val="20"/>
                <w:szCs w:val="20"/>
              </w:rPr>
              <w:t xml:space="preserve">Interest Rates on Deposits, </w:t>
            </w:r>
            <w:r w:rsidRPr="00877C7B">
              <w:rPr>
                <w:rFonts w:eastAsia="Times New Roman" w:cstheme="minorHAnsi"/>
                <w:b/>
                <w:color w:val="000000"/>
                <w:sz w:val="20"/>
              </w:rPr>
              <w:t>%</w:t>
            </w:r>
          </w:p>
        </w:tc>
        <w:tc>
          <w:tcPr>
            <w:tcW w:w="731" w:type="dxa"/>
            <w:noWrap/>
            <w:vAlign w:val="center"/>
            <w:hideMark/>
          </w:tcPr>
          <w:p w:rsidR="008542D4" w:rsidRPr="00877C7B" w:rsidRDefault="008542D4" w:rsidP="008542D4">
            <w:pPr>
              <w:jc w:val="center"/>
              <w:rPr>
                <w:rFonts w:eastAsia="Times New Roman" w:cstheme="minorHAnsi"/>
                <w:color w:val="000000"/>
                <w:sz w:val="18"/>
                <w:szCs w:val="18"/>
              </w:rPr>
            </w:pPr>
          </w:p>
        </w:tc>
        <w:tc>
          <w:tcPr>
            <w:tcW w:w="1012" w:type="dxa"/>
            <w:noWrap/>
            <w:vAlign w:val="center"/>
            <w:hideMark/>
          </w:tcPr>
          <w:p w:rsidR="008542D4" w:rsidRPr="00877C7B" w:rsidRDefault="008542D4" w:rsidP="008542D4">
            <w:pPr>
              <w:jc w:val="center"/>
              <w:rPr>
                <w:rFonts w:eastAsia="Times New Roman" w:cstheme="minorHAnsi"/>
                <w:color w:val="000000"/>
                <w:sz w:val="18"/>
                <w:szCs w:val="18"/>
              </w:rPr>
            </w:pPr>
          </w:p>
        </w:tc>
        <w:tc>
          <w:tcPr>
            <w:tcW w:w="935" w:type="dxa"/>
            <w:noWrap/>
            <w:vAlign w:val="center"/>
            <w:hideMark/>
          </w:tcPr>
          <w:p w:rsidR="008542D4" w:rsidRPr="00877C7B" w:rsidRDefault="008542D4" w:rsidP="008542D4">
            <w:pPr>
              <w:jc w:val="center"/>
              <w:rPr>
                <w:rFonts w:eastAsia="Times New Roman" w:cstheme="minorHAnsi"/>
                <w:color w:val="000000"/>
                <w:sz w:val="18"/>
                <w:szCs w:val="18"/>
              </w:rPr>
            </w:pPr>
          </w:p>
        </w:tc>
        <w:tc>
          <w:tcPr>
            <w:tcW w:w="979" w:type="dxa"/>
            <w:noWrap/>
            <w:vAlign w:val="center"/>
            <w:hideMark/>
          </w:tcPr>
          <w:p w:rsidR="008542D4" w:rsidRPr="00877C7B" w:rsidRDefault="008542D4" w:rsidP="008542D4">
            <w:pPr>
              <w:jc w:val="center"/>
              <w:rPr>
                <w:rFonts w:eastAsia="Times New Roman" w:cstheme="minorHAnsi"/>
                <w:color w:val="000000"/>
                <w:sz w:val="18"/>
                <w:szCs w:val="18"/>
              </w:rPr>
            </w:pPr>
          </w:p>
        </w:tc>
        <w:tc>
          <w:tcPr>
            <w:tcW w:w="993" w:type="dxa"/>
            <w:noWrap/>
            <w:vAlign w:val="center"/>
            <w:hideMark/>
          </w:tcPr>
          <w:p w:rsidR="008542D4" w:rsidRPr="00877C7B" w:rsidRDefault="008542D4" w:rsidP="008542D4">
            <w:pPr>
              <w:jc w:val="center"/>
              <w:rPr>
                <w:rFonts w:eastAsia="Times New Roman" w:cstheme="minorHAnsi"/>
                <w:color w:val="000000"/>
                <w:sz w:val="18"/>
                <w:szCs w:val="18"/>
              </w:rPr>
            </w:pPr>
          </w:p>
        </w:tc>
        <w:tc>
          <w:tcPr>
            <w:tcW w:w="1007" w:type="dxa"/>
            <w:noWrap/>
            <w:vAlign w:val="center"/>
            <w:hideMark/>
          </w:tcPr>
          <w:p w:rsidR="008542D4" w:rsidRPr="00877C7B" w:rsidRDefault="008542D4" w:rsidP="008542D4">
            <w:pPr>
              <w:jc w:val="center"/>
              <w:rPr>
                <w:rFonts w:eastAsia="Times New Roman" w:cstheme="minorHAnsi"/>
                <w:color w:val="000000"/>
                <w:sz w:val="18"/>
                <w:szCs w:val="18"/>
              </w:rPr>
            </w:pP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szCs w:val="20"/>
              </w:rPr>
            </w:pPr>
            <w:r w:rsidRPr="00877C7B">
              <w:rPr>
                <w:rFonts w:eastAsia="Times New Roman" w:cstheme="minorHAnsi"/>
                <w:color w:val="000000"/>
                <w:sz w:val="20"/>
                <w:szCs w:val="20"/>
              </w:rPr>
              <w:t>Previous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7.4%</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6.9%</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6.4%</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5.9%</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5.4%</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w:t>
            </w:r>
          </w:p>
        </w:tc>
      </w:tr>
      <w:tr w:rsidR="00C12FA5" w:rsidRPr="00877C7B" w:rsidTr="005B515A">
        <w:trPr>
          <w:trHeight w:val="113"/>
        </w:trPr>
        <w:tc>
          <w:tcPr>
            <w:tcW w:w="4315" w:type="dxa"/>
            <w:noWrap/>
            <w:vAlign w:val="bottom"/>
            <w:hideMark/>
          </w:tcPr>
          <w:p w:rsidR="00C12FA5" w:rsidRPr="00877C7B" w:rsidRDefault="00C12FA5" w:rsidP="00C12FA5">
            <w:pPr>
              <w:ind w:firstLineChars="100" w:firstLine="200"/>
              <w:rPr>
                <w:rFonts w:eastAsia="Times New Roman" w:cstheme="minorHAnsi"/>
                <w:color w:val="000000"/>
                <w:sz w:val="20"/>
              </w:rPr>
            </w:pPr>
            <w:r w:rsidRPr="00877C7B">
              <w:rPr>
                <w:rFonts w:eastAsia="Times New Roman" w:cstheme="minorHAnsi"/>
                <w:color w:val="000000"/>
                <w:sz w:val="20"/>
                <w:szCs w:val="20"/>
              </w:rPr>
              <w:t>Updated Forecast</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7.8%</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7.3%</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6.8%</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6.3%</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5.8%</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5.3%</w:t>
            </w:r>
          </w:p>
        </w:tc>
      </w:tr>
      <w:tr w:rsidR="00C12FA5" w:rsidRPr="00877C7B" w:rsidTr="00C12FA5">
        <w:trPr>
          <w:trHeight w:val="113"/>
        </w:trPr>
        <w:tc>
          <w:tcPr>
            <w:tcW w:w="4315" w:type="dxa"/>
            <w:noWrap/>
            <w:vAlign w:val="center"/>
            <w:hideMark/>
          </w:tcPr>
          <w:p w:rsidR="00C12FA5" w:rsidRPr="00877C7B" w:rsidRDefault="00C12FA5" w:rsidP="00C12FA5">
            <w:pPr>
              <w:rPr>
                <w:rFonts w:eastAsia="Times New Roman" w:cstheme="minorHAnsi"/>
                <w:color w:val="000000"/>
                <w:sz w:val="20"/>
                <w:szCs w:val="18"/>
              </w:rPr>
            </w:pPr>
            <w:r w:rsidRPr="00877C7B">
              <w:rPr>
                <w:rFonts w:eastAsia="Times New Roman" w:cstheme="minorHAnsi"/>
                <w:color w:val="000000"/>
                <w:sz w:val="20"/>
                <w:szCs w:val="20"/>
              </w:rPr>
              <w:t>Difference</w:t>
            </w:r>
          </w:p>
        </w:tc>
        <w:tc>
          <w:tcPr>
            <w:tcW w:w="731"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0.4%</w:t>
            </w:r>
          </w:p>
        </w:tc>
        <w:tc>
          <w:tcPr>
            <w:tcW w:w="1012"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0.4%</w:t>
            </w:r>
          </w:p>
        </w:tc>
        <w:tc>
          <w:tcPr>
            <w:tcW w:w="935"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0.4%</w:t>
            </w:r>
          </w:p>
        </w:tc>
        <w:tc>
          <w:tcPr>
            <w:tcW w:w="979"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0.4%</w:t>
            </w:r>
          </w:p>
        </w:tc>
        <w:tc>
          <w:tcPr>
            <w:tcW w:w="993"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0.4%</w:t>
            </w:r>
          </w:p>
        </w:tc>
        <w:tc>
          <w:tcPr>
            <w:tcW w:w="1007" w:type="dxa"/>
            <w:noWrap/>
            <w:vAlign w:val="center"/>
            <w:hideMark/>
          </w:tcPr>
          <w:p w:rsidR="00C12FA5" w:rsidRPr="00877C7B" w:rsidRDefault="00C12FA5" w:rsidP="00C12FA5">
            <w:pPr>
              <w:jc w:val="center"/>
              <w:rPr>
                <w:rFonts w:eastAsia="Times New Roman" w:cstheme="minorHAnsi"/>
                <w:color w:val="000000"/>
                <w:sz w:val="18"/>
                <w:szCs w:val="18"/>
              </w:rPr>
            </w:pPr>
            <w:r w:rsidRPr="00877C7B">
              <w:rPr>
                <w:rFonts w:eastAsia="Times New Roman" w:cstheme="minorHAnsi"/>
                <w:color w:val="000000"/>
                <w:sz w:val="18"/>
                <w:szCs w:val="18"/>
              </w:rPr>
              <w:t>5.3%</w:t>
            </w:r>
          </w:p>
        </w:tc>
      </w:tr>
    </w:tbl>
    <w:p w:rsidR="008542D4" w:rsidRPr="00877C7B" w:rsidRDefault="008542D4" w:rsidP="00693F22">
      <w:pPr>
        <w:pStyle w:val="NoSpacing"/>
        <w:spacing w:after="240"/>
        <w:jc w:val="both"/>
        <w:rPr>
          <w:rFonts w:cstheme="minorHAnsi"/>
        </w:rPr>
      </w:pPr>
    </w:p>
    <w:p w:rsidR="00877C7B" w:rsidRPr="00877C7B" w:rsidRDefault="00D560FC" w:rsidP="00877C7B">
      <w:pPr>
        <w:pStyle w:val="NoSpacing"/>
        <w:spacing w:line="276" w:lineRule="auto"/>
        <w:ind w:firstLine="720"/>
        <w:jc w:val="both"/>
        <w:rPr>
          <w:rFonts w:cstheme="minorHAnsi"/>
        </w:rPr>
      </w:pPr>
      <w:r w:rsidRPr="00877C7B">
        <w:rPr>
          <w:rFonts w:cstheme="minorHAnsi"/>
          <w:lang w:val="ka-GE"/>
        </w:rPr>
        <w:t xml:space="preserve">Table 1 </w:t>
      </w:r>
      <w:r w:rsidRPr="00877C7B">
        <w:rPr>
          <w:rFonts w:cstheme="minorHAnsi"/>
        </w:rPr>
        <w:t>reveals the differences</w:t>
      </w:r>
      <w:r w:rsidRPr="00877C7B">
        <w:rPr>
          <w:rFonts w:cstheme="minorHAnsi"/>
          <w:lang w:val="ka-GE"/>
        </w:rPr>
        <w:t xml:space="preserve"> in </w:t>
      </w:r>
      <w:r w:rsidRPr="00877C7B">
        <w:rPr>
          <w:rFonts w:cstheme="minorHAnsi"/>
        </w:rPr>
        <w:t>major</w:t>
      </w:r>
      <w:r w:rsidRPr="00877C7B">
        <w:rPr>
          <w:rFonts w:cstheme="minorHAnsi"/>
          <w:lang w:val="ka-GE"/>
        </w:rPr>
        <w:t xml:space="preserve"> underlying assumptions. The table also </w:t>
      </w:r>
      <w:r w:rsidRPr="00877C7B">
        <w:rPr>
          <w:rFonts w:cstheme="minorHAnsi"/>
        </w:rPr>
        <w:t>shows</w:t>
      </w:r>
      <w:r w:rsidRPr="00877C7B">
        <w:rPr>
          <w:rFonts w:cstheme="minorHAnsi"/>
          <w:lang w:val="ka-GE"/>
        </w:rPr>
        <w:t xml:space="preserve"> the actual </w:t>
      </w:r>
      <w:r w:rsidRPr="00877C7B">
        <w:rPr>
          <w:rFonts w:cstheme="minorHAnsi"/>
        </w:rPr>
        <w:t>values</w:t>
      </w:r>
      <w:r w:rsidRPr="00877C7B">
        <w:rPr>
          <w:rFonts w:cstheme="minorHAnsi"/>
          <w:lang w:val="ka-GE"/>
        </w:rPr>
        <w:t xml:space="preserve"> for 201</w:t>
      </w:r>
      <w:r w:rsidRPr="00877C7B">
        <w:rPr>
          <w:rFonts w:cstheme="minorHAnsi"/>
        </w:rPr>
        <w:t>9</w:t>
      </w:r>
      <w:r w:rsidRPr="00877C7B">
        <w:rPr>
          <w:rFonts w:cstheme="minorHAnsi"/>
          <w:lang w:val="ka-GE"/>
        </w:rPr>
        <w:t xml:space="preserve"> </w:t>
      </w:r>
      <w:r w:rsidRPr="00877C7B">
        <w:rPr>
          <w:rFonts w:cstheme="minorHAnsi"/>
        </w:rPr>
        <w:t xml:space="preserve">in order </w:t>
      </w:r>
      <w:r w:rsidRPr="00877C7B">
        <w:rPr>
          <w:rFonts w:cstheme="minorHAnsi"/>
          <w:lang w:val="ka-GE"/>
        </w:rPr>
        <w:t xml:space="preserve">to </w:t>
      </w:r>
      <w:r w:rsidRPr="00877C7B">
        <w:rPr>
          <w:rFonts w:cstheme="minorHAnsi"/>
        </w:rPr>
        <w:t>present</w:t>
      </w:r>
      <w:r w:rsidRPr="00877C7B">
        <w:rPr>
          <w:rFonts w:cstheme="minorHAnsi"/>
          <w:lang w:val="ka-GE"/>
        </w:rPr>
        <w:t xml:space="preserve"> the effect of the </w:t>
      </w:r>
      <w:r w:rsidRPr="00877C7B">
        <w:rPr>
          <w:rFonts w:cstheme="minorHAnsi"/>
        </w:rPr>
        <w:t xml:space="preserve">adjustments </w:t>
      </w:r>
      <w:r w:rsidR="00E14A13" w:rsidRPr="00877C7B">
        <w:rPr>
          <w:rFonts w:cstheme="minorHAnsi"/>
          <w:lang w:val="ka-GE"/>
        </w:rPr>
        <w:t>more clearly</w:t>
      </w:r>
      <w:r w:rsidR="00E14A13" w:rsidRPr="00877C7B">
        <w:rPr>
          <w:rFonts w:cstheme="minorHAnsi"/>
        </w:rPr>
        <w:t xml:space="preserve"> </w:t>
      </w:r>
      <w:r w:rsidRPr="00877C7B">
        <w:rPr>
          <w:rFonts w:cstheme="minorHAnsi"/>
        </w:rPr>
        <w:t>caused by the changes in the base year</w:t>
      </w:r>
      <w:r w:rsidRPr="00877C7B">
        <w:rPr>
          <w:rFonts w:cstheme="minorHAnsi"/>
          <w:lang w:val="ka-GE"/>
        </w:rPr>
        <w:t xml:space="preserve"> </w:t>
      </w:r>
      <w:r w:rsidRPr="00877C7B">
        <w:rPr>
          <w:rFonts w:cstheme="minorHAnsi"/>
        </w:rPr>
        <w:t>when indicat</w:t>
      </w:r>
      <w:r w:rsidR="000342E8" w:rsidRPr="00877C7B">
        <w:rPr>
          <w:rFonts w:cstheme="minorHAnsi"/>
        </w:rPr>
        <w:t>ing</w:t>
      </w:r>
      <w:r w:rsidRPr="00877C7B">
        <w:rPr>
          <w:rFonts w:cstheme="minorHAnsi"/>
        </w:rPr>
        <w:t xml:space="preserve"> the actual values. As we can see, the expected value of the real GDP growth of 2020 has decreased significantly, to -5.0 percent. The main reason </w:t>
      </w:r>
      <w:r w:rsidR="000342E8" w:rsidRPr="00877C7B">
        <w:rPr>
          <w:rFonts w:cstheme="minorHAnsi"/>
        </w:rPr>
        <w:t>for</w:t>
      </w:r>
      <w:r w:rsidRPr="00877C7B">
        <w:rPr>
          <w:rFonts w:cstheme="minorHAnsi"/>
        </w:rPr>
        <w:t xml:space="preserve"> this reduction was </w:t>
      </w:r>
      <w:r w:rsidR="000342E8" w:rsidRPr="00877C7B">
        <w:rPr>
          <w:rFonts w:cstheme="minorHAnsi"/>
        </w:rPr>
        <w:t xml:space="preserve">the </w:t>
      </w:r>
      <w:r w:rsidRPr="00877C7B">
        <w:rPr>
          <w:rFonts w:cstheme="minorHAnsi"/>
        </w:rPr>
        <w:t>decline of international travel due to the pandemic, as tourism</w:t>
      </w:r>
      <w:r w:rsidR="00B80012" w:rsidRPr="00877C7B">
        <w:rPr>
          <w:rFonts w:cstheme="minorHAnsi"/>
        </w:rPr>
        <w:t>-</w:t>
      </w:r>
      <w:r w:rsidRPr="00877C7B">
        <w:rPr>
          <w:rFonts w:cstheme="minorHAnsi"/>
        </w:rPr>
        <w:t>related sector contribute</w:t>
      </w:r>
      <w:r w:rsidR="009D6A8B" w:rsidRPr="00877C7B">
        <w:rPr>
          <w:rFonts w:cstheme="minorHAnsi"/>
        </w:rPr>
        <w:t>s</w:t>
      </w:r>
      <w:r w:rsidRPr="00877C7B">
        <w:rPr>
          <w:rFonts w:cstheme="minorHAnsi"/>
        </w:rPr>
        <w:t xml:space="preserve"> around 10-12 percent in the potential GDP of Georgia. Besides tourism, reduced domestic demand and mobility </w:t>
      </w:r>
      <w:r w:rsidR="009D6A8B" w:rsidRPr="00877C7B">
        <w:rPr>
          <w:rFonts w:cstheme="minorHAnsi"/>
        </w:rPr>
        <w:t xml:space="preserve">due to pandemic, </w:t>
      </w:r>
      <w:r w:rsidRPr="00877C7B">
        <w:rPr>
          <w:rFonts w:cstheme="minorHAnsi"/>
        </w:rPr>
        <w:t>had implications on the economy, which affected the supply negatively, and facilitated to incre</w:t>
      </w:r>
      <w:r w:rsidR="00B80012" w:rsidRPr="00877C7B">
        <w:rPr>
          <w:rFonts w:cstheme="minorHAnsi"/>
        </w:rPr>
        <w:t>ase prices, which is reflected i</w:t>
      </w:r>
      <w:r w:rsidRPr="00877C7B">
        <w:rPr>
          <w:rFonts w:cstheme="minorHAnsi"/>
        </w:rPr>
        <w:t xml:space="preserve">n the higher forecast of GDP deflator. </w:t>
      </w:r>
    </w:p>
    <w:p w:rsidR="00877C7B" w:rsidRPr="00877C7B" w:rsidRDefault="00D560FC" w:rsidP="00877C7B">
      <w:pPr>
        <w:pStyle w:val="NoSpacing"/>
        <w:spacing w:line="276" w:lineRule="auto"/>
        <w:ind w:firstLine="720"/>
        <w:jc w:val="both"/>
        <w:rPr>
          <w:rFonts w:cstheme="minorHAnsi"/>
        </w:rPr>
      </w:pPr>
      <w:r w:rsidRPr="00877C7B">
        <w:rPr>
          <w:rFonts w:cstheme="minorHAnsi"/>
        </w:rPr>
        <w:t xml:space="preserve">It was clear at the beginning of </w:t>
      </w:r>
      <w:r w:rsidR="003E2D90" w:rsidRPr="00877C7B">
        <w:rPr>
          <w:rFonts w:cstheme="minorHAnsi"/>
        </w:rPr>
        <w:t xml:space="preserve">the </w:t>
      </w:r>
      <w:r w:rsidRPr="00877C7B">
        <w:rPr>
          <w:rFonts w:cstheme="minorHAnsi"/>
        </w:rPr>
        <w:t xml:space="preserve">pandemic, that </w:t>
      </w:r>
      <w:r w:rsidR="00452A6C" w:rsidRPr="00877C7B">
        <w:rPr>
          <w:rFonts w:cstheme="minorHAnsi"/>
        </w:rPr>
        <w:t xml:space="preserve">less international mobility would have </w:t>
      </w:r>
      <w:r w:rsidR="003E2D90" w:rsidRPr="00877C7B">
        <w:rPr>
          <w:rFonts w:cstheme="minorHAnsi"/>
        </w:rPr>
        <w:t>a</w:t>
      </w:r>
      <w:r w:rsidR="00452A6C" w:rsidRPr="00877C7B">
        <w:rPr>
          <w:rFonts w:cstheme="minorHAnsi"/>
        </w:rPr>
        <w:t xml:space="preserve"> substantial impact on the Balance of Payment. Liquidity risk caused by the less external inflows was reflected </w:t>
      </w:r>
      <w:r w:rsidR="003E2D90" w:rsidRPr="00877C7B">
        <w:rPr>
          <w:rFonts w:cstheme="minorHAnsi"/>
        </w:rPr>
        <w:t>in</w:t>
      </w:r>
      <w:r w:rsidR="00452A6C" w:rsidRPr="00877C7B">
        <w:rPr>
          <w:rFonts w:cstheme="minorHAnsi"/>
        </w:rPr>
        <w:t xml:space="preserve"> the growth of country risk pr</w:t>
      </w:r>
      <w:r w:rsidR="003E2D90" w:rsidRPr="00877C7B">
        <w:rPr>
          <w:rFonts w:cstheme="minorHAnsi"/>
        </w:rPr>
        <w:t xml:space="preserve">emium during the spring, which </w:t>
      </w:r>
      <w:r w:rsidR="00452A6C" w:rsidRPr="00877C7B">
        <w:rPr>
          <w:rFonts w:cstheme="minorHAnsi"/>
        </w:rPr>
        <w:t>ha</w:t>
      </w:r>
      <w:r w:rsidR="003E2D90" w:rsidRPr="00877C7B">
        <w:rPr>
          <w:rFonts w:cstheme="minorHAnsi"/>
        </w:rPr>
        <w:t>s</w:t>
      </w:r>
      <w:r w:rsidR="00452A6C" w:rsidRPr="00877C7B">
        <w:rPr>
          <w:rFonts w:cstheme="minorHAnsi"/>
        </w:rPr>
        <w:t xml:space="preserve"> initiated the higher interest rates and </w:t>
      </w:r>
      <w:r w:rsidR="003E2D90" w:rsidRPr="00877C7B">
        <w:rPr>
          <w:rFonts w:cstheme="minorHAnsi"/>
        </w:rPr>
        <w:t xml:space="preserve">a </w:t>
      </w:r>
      <w:r w:rsidR="00452A6C" w:rsidRPr="00877C7B">
        <w:rPr>
          <w:rFonts w:cstheme="minorHAnsi"/>
        </w:rPr>
        <w:t xml:space="preserve">sharp depreciation of the currency. However, the successful negotiation with the IMF and other donors, which was continued by important growth in </w:t>
      </w:r>
      <w:r w:rsidR="003E2D90" w:rsidRPr="00877C7B">
        <w:rPr>
          <w:rFonts w:cstheme="minorHAnsi"/>
        </w:rPr>
        <w:t xml:space="preserve">the </w:t>
      </w:r>
      <w:r w:rsidR="00452A6C" w:rsidRPr="00877C7B">
        <w:rPr>
          <w:rFonts w:cstheme="minorHAnsi"/>
        </w:rPr>
        <w:t>financing, caused liquidity shock to dec</w:t>
      </w:r>
      <w:r w:rsidR="003E2D90" w:rsidRPr="00877C7B">
        <w:rPr>
          <w:rFonts w:cstheme="minorHAnsi"/>
        </w:rPr>
        <w:t>l</w:t>
      </w:r>
      <w:r w:rsidR="00452A6C" w:rsidRPr="00877C7B">
        <w:rPr>
          <w:rFonts w:cstheme="minorHAnsi"/>
        </w:rPr>
        <w:t>ine. Interest rates increased by 0.4 percent overall, which was also due to the accom</w:t>
      </w:r>
      <w:r w:rsidR="00DC59F4" w:rsidRPr="00877C7B">
        <w:rPr>
          <w:rFonts w:cstheme="minorHAnsi"/>
        </w:rPr>
        <w:t>m</w:t>
      </w:r>
      <w:r w:rsidR="00452A6C" w:rsidRPr="00877C7B">
        <w:rPr>
          <w:rFonts w:cstheme="minorHAnsi"/>
        </w:rPr>
        <w:t xml:space="preserve">odative monetary policy. It is noteworthy to say that, unlike deposits, interest rates on loans have increased only marginal, due to the mortgage loan subsidies. </w:t>
      </w:r>
    </w:p>
    <w:p w:rsidR="00452A6C" w:rsidRPr="00877C7B" w:rsidRDefault="00DC59F4" w:rsidP="00877C7B">
      <w:pPr>
        <w:pStyle w:val="NoSpacing"/>
        <w:spacing w:after="240" w:line="276" w:lineRule="auto"/>
        <w:ind w:firstLine="720"/>
        <w:jc w:val="both"/>
        <w:rPr>
          <w:rFonts w:cstheme="minorHAnsi"/>
        </w:rPr>
      </w:pPr>
      <w:r w:rsidRPr="00877C7B">
        <w:rPr>
          <w:rFonts w:cstheme="minorHAnsi"/>
        </w:rPr>
        <w:t>The M</w:t>
      </w:r>
      <w:r w:rsidR="00452A6C" w:rsidRPr="00877C7B">
        <w:rPr>
          <w:rFonts w:cstheme="minorHAnsi"/>
        </w:rPr>
        <w:t xml:space="preserve">inistry of Finance of Georgia uses a macroeconomic </w:t>
      </w:r>
      <w:r w:rsidRPr="00877C7B">
        <w:rPr>
          <w:rFonts w:cstheme="minorHAnsi"/>
        </w:rPr>
        <w:t xml:space="preserve">forecasting </w:t>
      </w:r>
      <w:r w:rsidR="00452A6C" w:rsidRPr="00877C7B">
        <w:rPr>
          <w:rFonts w:cstheme="minorHAnsi"/>
        </w:rPr>
        <w:t>model. Changes in the initial period data and adjustment of the initial vari</w:t>
      </w:r>
      <w:r w:rsidR="003C126E" w:rsidRPr="00877C7B">
        <w:rPr>
          <w:rFonts w:cstheme="minorHAnsi"/>
        </w:rPr>
        <w:t>a</w:t>
      </w:r>
      <w:r w:rsidR="00452A6C" w:rsidRPr="00877C7B">
        <w:rPr>
          <w:rFonts w:cstheme="minorHAnsi"/>
        </w:rPr>
        <w:t xml:space="preserve">bles affect the final results, as reflected in the macroeconomic forecasts. </w:t>
      </w:r>
    </w:p>
    <w:tbl>
      <w:tblPr>
        <w:tblStyle w:val="TableGrid"/>
        <w:tblW w:w="0" w:type="auto"/>
        <w:tblLook w:val="04A0" w:firstRow="1" w:lastRow="0" w:firstColumn="1" w:lastColumn="0" w:noHBand="0" w:noVBand="1"/>
      </w:tblPr>
      <w:tblGrid>
        <w:gridCol w:w="3372"/>
        <w:gridCol w:w="1246"/>
        <w:gridCol w:w="980"/>
        <w:gridCol w:w="980"/>
        <w:gridCol w:w="1069"/>
        <w:gridCol w:w="980"/>
        <w:gridCol w:w="980"/>
      </w:tblGrid>
      <w:tr w:rsidR="00452A6C" w:rsidRPr="00877C7B" w:rsidTr="00877C7B">
        <w:trPr>
          <w:trHeight w:val="113"/>
          <w:tblHeader/>
        </w:trPr>
        <w:tc>
          <w:tcPr>
            <w:tcW w:w="3372" w:type="dxa"/>
            <w:noWrap/>
            <w:vAlign w:val="center"/>
            <w:hideMark/>
          </w:tcPr>
          <w:p w:rsidR="00452A6C" w:rsidRPr="00877C7B" w:rsidRDefault="009108FC" w:rsidP="005B515A">
            <w:pPr>
              <w:pStyle w:val="NoSpacing"/>
              <w:rPr>
                <w:rFonts w:eastAsia="Times New Roman" w:cstheme="minorHAnsi"/>
                <w:b/>
                <w:bCs/>
                <w:color w:val="000000"/>
                <w:sz w:val="20"/>
                <w:szCs w:val="18"/>
              </w:rPr>
            </w:pPr>
            <w:r w:rsidRPr="00877C7B">
              <w:rPr>
                <w:rFonts w:eastAsia="Times New Roman" w:cstheme="minorHAnsi"/>
                <w:b/>
                <w:bCs/>
                <w:color w:val="000000"/>
                <w:sz w:val="20"/>
                <w:szCs w:val="20"/>
              </w:rPr>
              <w:t>Table 2. Change in Nominal GDP</w:t>
            </w:r>
          </w:p>
        </w:tc>
        <w:tc>
          <w:tcPr>
            <w:tcW w:w="1246" w:type="dxa"/>
            <w:noWrap/>
            <w:vAlign w:val="center"/>
          </w:tcPr>
          <w:p w:rsidR="00452A6C" w:rsidRPr="00877C7B" w:rsidRDefault="00452A6C" w:rsidP="005B515A">
            <w:pPr>
              <w:pStyle w:val="NoSpacing"/>
              <w:jc w:val="center"/>
              <w:rPr>
                <w:rFonts w:eastAsia="Times New Roman" w:cstheme="minorHAnsi"/>
                <w:b/>
                <w:bCs/>
                <w:color w:val="000000"/>
                <w:sz w:val="20"/>
                <w:szCs w:val="18"/>
                <w:lang w:val="ka-GE"/>
              </w:rPr>
            </w:pPr>
          </w:p>
        </w:tc>
        <w:tc>
          <w:tcPr>
            <w:tcW w:w="980" w:type="dxa"/>
            <w:noWrap/>
            <w:vAlign w:val="center"/>
          </w:tcPr>
          <w:p w:rsidR="00452A6C" w:rsidRPr="00877C7B" w:rsidRDefault="00452A6C" w:rsidP="005B515A">
            <w:pPr>
              <w:pStyle w:val="NoSpacing"/>
              <w:jc w:val="center"/>
              <w:rPr>
                <w:rFonts w:eastAsia="Times New Roman" w:cstheme="minorHAnsi"/>
                <w:b/>
                <w:bCs/>
                <w:color w:val="000000"/>
                <w:sz w:val="20"/>
                <w:szCs w:val="18"/>
              </w:rPr>
            </w:pPr>
          </w:p>
        </w:tc>
        <w:tc>
          <w:tcPr>
            <w:tcW w:w="980" w:type="dxa"/>
            <w:noWrap/>
            <w:vAlign w:val="center"/>
          </w:tcPr>
          <w:p w:rsidR="00452A6C" w:rsidRPr="00877C7B" w:rsidRDefault="00452A6C" w:rsidP="005B515A">
            <w:pPr>
              <w:pStyle w:val="NoSpacing"/>
              <w:jc w:val="center"/>
              <w:rPr>
                <w:rFonts w:eastAsia="Times New Roman" w:cstheme="minorHAnsi"/>
                <w:b/>
                <w:bCs/>
                <w:color w:val="000000"/>
                <w:sz w:val="20"/>
                <w:szCs w:val="18"/>
              </w:rPr>
            </w:pPr>
          </w:p>
        </w:tc>
        <w:tc>
          <w:tcPr>
            <w:tcW w:w="1069" w:type="dxa"/>
            <w:noWrap/>
            <w:vAlign w:val="center"/>
          </w:tcPr>
          <w:p w:rsidR="00452A6C" w:rsidRPr="00877C7B" w:rsidRDefault="00452A6C" w:rsidP="005B515A">
            <w:pPr>
              <w:pStyle w:val="NoSpacing"/>
              <w:jc w:val="center"/>
              <w:rPr>
                <w:rFonts w:eastAsia="Times New Roman" w:cstheme="minorHAnsi"/>
                <w:b/>
                <w:bCs/>
                <w:color w:val="000000"/>
                <w:sz w:val="20"/>
                <w:szCs w:val="18"/>
              </w:rPr>
            </w:pPr>
          </w:p>
        </w:tc>
        <w:tc>
          <w:tcPr>
            <w:tcW w:w="980" w:type="dxa"/>
            <w:noWrap/>
            <w:vAlign w:val="center"/>
          </w:tcPr>
          <w:p w:rsidR="00452A6C" w:rsidRPr="00877C7B" w:rsidRDefault="00452A6C" w:rsidP="005B515A">
            <w:pPr>
              <w:pStyle w:val="NoSpacing"/>
              <w:jc w:val="center"/>
              <w:rPr>
                <w:rFonts w:eastAsia="Times New Roman" w:cstheme="minorHAnsi"/>
                <w:b/>
                <w:bCs/>
                <w:color w:val="000000"/>
                <w:sz w:val="20"/>
                <w:szCs w:val="18"/>
              </w:rPr>
            </w:pPr>
          </w:p>
        </w:tc>
        <w:tc>
          <w:tcPr>
            <w:tcW w:w="980" w:type="dxa"/>
            <w:noWrap/>
            <w:vAlign w:val="center"/>
          </w:tcPr>
          <w:p w:rsidR="00452A6C" w:rsidRPr="00877C7B" w:rsidRDefault="00452A6C" w:rsidP="005B515A">
            <w:pPr>
              <w:pStyle w:val="NoSpacing"/>
              <w:jc w:val="center"/>
              <w:rPr>
                <w:rFonts w:eastAsia="Times New Roman" w:cstheme="minorHAnsi"/>
                <w:b/>
                <w:bCs/>
                <w:color w:val="000000"/>
                <w:sz w:val="20"/>
                <w:szCs w:val="18"/>
              </w:rPr>
            </w:pPr>
          </w:p>
        </w:tc>
      </w:tr>
      <w:tr w:rsidR="009108FC" w:rsidRPr="00877C7B" w:rsidTr="00877C7B">
        <w:trPr>
          <w:trHeight w:val="113"/>
        </w:trPr>
        <w:tc>
          <w:tcPr>
            <w:tcW w:w="3372" w:type="dxa"/>
            <w:noWrap/>
            <w:vAlign w:val="center"/>
          </w:tcPr>
          <w:p w:rsidR="009108FC" w:rsidRPr="00877C7B" w:rsidRDefault="009108FC" w:rsidP="005B515A">
            <w:pPr>
              <w:pStyle w:val="NoSpacing"/>
              <w:rPr>
                <w:rFonts w:eastAsia="Times New Roman" w:cstheme="minorHAnsi"/>
                <w:b/>
                <w:bCs/>
                <w:color w:val="000000"/>
                <w:sz w:val="20"/>
                <w:szCs w:val="18"/>
              </w:rPr>
            </w:pPr>
            <w:r w:rsidRPr="00877C7B">
              <w:rPr>
                <w:rFonts w:eastAsia="Times New Roman" w:cstheme="minorHAnsi"/>
                <w:color w:val="000000"/>
                <w:sz w:val="20"/>
                <w:szCs w:val="20"/>
              </w:rPr>
              <w:t>(Million GEL)</w:t>
            </w:r>
          </w:p>
        </w:tc>
        <w:tc>
          <w:tcPr>
            <w:tcW w:w="1246"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980"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980"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1069"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980"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980" w:type="dxa"/>
            <w:noWrap/>
            <w:vAlign w:val="center"/>
          </w:tcPr>
          <w:p w:rsidR="009108FC" w:rsidRPr="00877C7B" w:rsidRDefault="009108FC" w:rsidP="009108FC">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9108FC" w:rsidRPr="00877C7B" w:rsidTr="00877C7B">
        <w:trPr>
          <w:trHeight w:val="113"/>
        </w:trPr>
        <w:tc>
          <w:tcPr>
            <w:tcW w:w="3372" w:type="dxa"/>
            <w:noWrap/>
            <w:vAlign w:val="center"/>
          </w:tcPr>
          <w:p w:rsidR="009108FC" w:rsidRPr="00877C7B" w:rsidRDefault="009108FC" w:rsidP="005B515A">
            <w:pPr>
              <w:pStyle w:val="NoSpacing"/>
              <w:rPr>
                <w:rFonts w:eastAsia="Times New Roman" w:cstheme="minorHAnsi"/>
                <w:b/>
                <w:bCs/>
                <w:color w:val="000000"/>
                <w:sz w:val="20"/>
                <w:szCs w:val="18"/>
              </w:rPr>
            </w:pPr>
          </w:p>
        </w:tc>
        <w:tc>
          <w:tcPr>
            <w:tcW w:w="1246"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Actual</w:t>
            </w:r>
          </w:p>
        </w:tc>
        <w:tc>
          <w:tcPr>
            <w:tcW w:w="980"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Expected</w:t>
            </w:r>
          </w:p>
        </w:tc>
        <w:tc>
          <w:tcPr>
            <w:tcW w:w="980"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Forecast</w:t>
            </w:r>
          </w:p>
        </w:tc>
        <w:tc>
          <w:tcPr>
            <w:tcW w:w="1069"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Forecast</w:t>
            </w:r>
          </w:p>
        </w:tc>
        <w:tc>
          <w:tcPr>
            <w:tcW w:w="980"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Forecast</w:t>
            </w:r>
          </w:p>
        </w:tc>
        <w:tc>
          <w:tcPr>
            <w:tcW w:w="980" w:type="dxa"/>
            <w:noWrap/>
            <w:vAlign w:val="center"/>
          </w:tcPr>
          <w:p w:rsidR="009108FC" w:rsidRPr="00877C7B" w:rsidRDefault="009108FC" w:rsidP="005B515A">
            <w:pPr>
              <w:pStyle w:val="NoSpacing"/>
              <w:jc w:val="center"/>
              <w:rPr>
                <w:rFonts w:eastAsia="Times New Roman" w:cstheme="minorHAnsi"/>
                <w:b/>
                <w:bCs/>
                <w:color w:val="000000"/>
                <w:sz w:val="20"/>
                <w:szCs w:val="18"/>
              </w:rPr>
            </w:pPr>
            <w:r w:rsidRPr="00877C7B">
              <w:rPr>
                <w:rFonts w:eastAsia="Times New Roman" w:cstheme="minorHAnsi"/>
                <w:color w:val="000000"/>
                <w:sz w:val="20"/>
                <w:szCs w:val="20"/>
              </w:rPr>
              <w:t>Forecast</w:t>
            </w:r>
          </w:p>
        </w:tc>
      </w:tr>
      <w:tr w:rsidR="00452A6C" w:rsidRPr="00877C7B" w:rsidTr="00877C7B">
        <w:trPr>
          <w:trHeight w:val="113"/>
        </w:trPr>
        <w:tc>
          <w:tcPr>
            <w:tcW w:w="3372" w:type="dxa"/>
            <w:tcBorders>
              <w:bottom w:val="nil"/>
            </w:tcBorders>
            <w:noWrap/>
            <w:vAlign w:val="center"/>
            <w:hideMark/>
          </w:tcPr>
          <w:p w:rsidR="00452A6C" w:rsidRPr="00877C7B" w:rsidRDefault="009108FC" w:rsidP="009108FC">
            <w:pPr>
              <w:pStyle w:val="NoSpacing"/>
              <w:rPr>
                <w:rFonts w:eastAsia="Times New Roman" w:cstheme="minorHAnsi"/>
                <w:color w:val="000000"/>
                <w:sz w:val="20"/>
                <w:szCs w:val="18"/>
              </w:rPr>
            </w:pPr>
            <w:r w:rsidRPr="00877C7B">
              <w:rPr>
                <w:rFonts w:eastAsia="Times New Roman" w:cstheme="minorHAnsi"/>
                <w:b/>
                <w:bCs/>
                <w:color w:val="000000"/>
                <w:sz w:val="20"/>
                <w:szCs w:val="20"/>
              </w:rPr>
              <w:t>Forecast of Nominal GDP</w:t>
            </w:r>
            <w:r w:rsidRPr="00877C7B">
              <w:rPr>
                <w:rFonts w:eastAsia="Times New Roman" w:cstheme="minorHAnsi"/>
                <w:color w:val="000000"/>
                <w:sz w:val="20"/>
                <w:szCs w:val="18"/>
              </w:rPr>
              <w:t xml:space="preserve"> </w:t>
            </w:r>
            <w:r w:rsidRPr="00877C7B">
              <w:rPr>
                <w:rFonts w:eastAsia="Times New Roman" w:cstheme="minorHAnsi"/>
                <w:b/>
                <w:color w:val="000000"/>
                <w:sz w:val="20"/>
                <w:szCs w:val="18"/>
              </w:rPr>
              <w:t>December 2019</w:t>
            </w:r>
            <w:r w:rsidRPr="00877C7B">
              <w:rPr>
                <w:rFonts w:eastAsia="Times New Roman" w:cstheme="minorHAnsi"/>
                <w:color w:val="000000"/>
                <w:sz w:val="20"/>
                <w:szCs w:val="18"/>
              </w:rPr>
              <w:t xml:space="preserve"> </w:t>
            </w:r>
          </w:p>
        </w:tc>
        <w:tc>
          <w:tcPr>
            <w:tcW w:w="1246"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49,077.1</w:t>
            </w:r>
          </w:p>
        </w:tc>
        <w:tc>
          <w:tcPr>
            <w:tcW w:w="980"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53,080.6</w:t>
            </w:r>
          </w:p>
        </w:tc>
        <w:tc>
          <w:tcPr>
            <w:tcW w:w="980"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57,406.6</w:t>
            </w:r>
          </w:p>
        </w:tc>
        <w:tc>
          <w:tcPr>
            <w:tcW w:w="1069"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62,085.3</w:t>
            </w:r>
          </w:p>
        </w:tc>
        <w:tc>
          <w:tcPr>
            <w:tcW w:w="980"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67,465.0</w:t>
            </w:r>
          </w:p>
        </w:tc>
        <w:tc>
          <w:tcPr>
            <w:tcW w:w="980" w:type="dxa"/>
            <w:tcBorders>
              <w:bottom w:val="nil"/>
            </w:tcBorders>
            <w:noWrap/>
            <w:vAlign w:val="center"/>
            <w:hideMark/>
          </w:tcPr>
          <w:p w:rsidR="00452A6C" w:rsidRPr="00877C7B" w:rsidRDefault="00452A6C" w:rsidP="005B515A">
            <w:pPr>
              <w:pStyle w:val="NoSpacing"/>
              <w:jc w:val="center"/>
              <w:rPr>
                <w:rFonts w:eastAsia="Times New Roman" w:cstheme="minorHAnsi"/>
                <w:color w:val="000000"/>
                <w:sz w:val="20"/>
                <w:szCs w:val="18"/>
                <w:lang w:val="ka-GE"/>
              </w:rPr>
            </w:pPr>
            <w:r w:rsidRPr="00877C7B">
              <w:rPr>
                <w:rFonts w:eastAsia="Times New Roman" w:cstheme="minorHAnsi"/>
                <w:color w:val="000000"/>
                <w:sz w:val="20"/>
                <w:szCs w:val="18"/>
                <w:lang w:val="ka-GE"/>
              </w:rPr>
              <w:t>-</w:t>
            </w:r>
          </w:p>
        </w:tc>
      </w:tr>
      <w:tr w:rsidR="00452A6C" w:rsidRPr="00877C7B" w:rsidTr="00877C7B">
        <w:trPr>
          <w:trHeight w:val="113"/>
        </w:trPr>
        <w:tc>
          <w:tcPr>
            <w:tcW w:w="3372" w:type="dxa"/>
            <w:tcBorders>
              <w:top w:val="nil"/>
            </w:tcBorders>
            <w:noWrap/>
            <w:vAlign w:val="center"/>
            <w:hideMark/>
          </w:tcPr>
          <w:p w:rsidR="00452A6C" w:rsidRPr="00877C7B" w:rsidRDefault="009108FC" w:rsidP="005B515A">
            <w:pPr>
              <w:pStyle w:val="NoSpacing"/>
              <w:rPr>
                <w:rFonts w:eastAsia="Times New Roman" w:cstheme="minorHAnsi"/>
                <w:color w:val="000000"/>
                <w:sz w:val="20"/>
                <w:szCs w:val="18"/>
              </w:rPr>
            </w:pPr>
            <w:r w:rsidRPr="00877C7B">
              <w:rPr>
                <w:rFonts w:eastAsia="Times New Roman" w:cstheme="minorHAnsi"/>
                <w:b/>
                <w:bCs/>
                <w:color w:val="000000"/>
                <w:sz w:val="20"/>
                <w:szCs w:val="20"/>
              </w:rPr>
              <w:t>Total change in Nominal GDP</w:t>
            </w:r>
          </w:p>
        </w:tc>
        <w:tc>
          <w:tcPr>
            <w:tcW w:w="1246"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175.5</w:t>
            </w:r>
          </w:p>
        </w:tc>
        <w:tc>
          <w:tcPr>
            <w:tcW w:w="980"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-3,717.1</w:t>
            </w:r>
          </w:p>
        </w:tc>
        <w:tc>
          <w:tcPr>
            <w:tcW w:w="980"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-3,964.1</w:t>
            </w:r>
          </w:p>
        </w:tc>
        <w:tc>
          <w:tcPr>
            <w:tcW w:w="1069"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-3,846.8</w:t>
            </w:r>
          </w:p>
        </w:tc>
        <w:tc>
          <w:tcPr>
            <w:tcW w:w="980"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-4,180.1</w:t>
            </w:r>
          </w:p>
        </w:tc>
        <w:tc>
          <w:tcPr>
            <w:tcW w:w="980" w:type="dxa"/>
            <w:tcBorders>
              <w:top w:val="nil"/>
            </w:tcBorders>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68,573.0</w:t>
            </w:r>
          </w:p>
        </w:tc>
      </w:tr>
      <w:tr w:rsidR="00452A6C" w:rsidRPr="00877C7B" w:rsidTr="00877C7B">
        <w:trPr>
          <w:trHeight w:val="113"/>
        </w:trPr>
        <w:tc>
          <w:tcPr>
            <w:tcW w:w="3372" w:type="dxa"/>
            <w:noWrap/>
            <w:vAlign w:val="center"/>
            <w:hideMark/>
          </w:tcPr>
          <w:p w:rsidR="00452A6C" w:rsidRPr="00877C7B" w:rsidRDefault="009108FC" w:rsidP="009108FC">
            <w:pPr>
              <w:pStyle w:val="NoSpacing"/>
              <w:rPr>
                <w:rFonts w:eastAsia="Times New Roman" w:cstheme="minorHAnsi"/>
                <w:color w:val="000000"/>
                <w:sz w:val="20"/>
                <w:szCs w:val="18"/>
              </w:rPr>
            </w:pPr>
            <w:r w:rsidRPr="00877C7B">
              <w:rPr>
                <w:rFonts w:eastAsia="Times New Roman" w:cstheme="minorHAnsi"/>
                <w:b/>
                <w:bCs/>
                <w:color w:val="000000"/>
                <w:sz w:val="20"/>
                <w:szCs w:val="20"/>
              </w:rPr>
              <w:t>Forecast of Nominal GDP</w:t>
            </w:r>
            <w:r w:rsidRPr="00877C7B">
              <w:rPr>
                <w:rFonts w:eastAsia="Times New Roman" w:cstheme="minorHAnsi"/>
                <w:color w:val="000000"/>
                <w:sz w:val="20"/>
                <w:szCs w:val="18"/>
              </w:rPr>
              <w:t xml:space="preserve"> </w:t>
            </w:r>
            <w:r w:rsidRPr="00877C7B">
              <w:rPr>
                <w:rFonts w:eastAsia="Times New Roman" w:cstheme="minorHAnsi"/>
                <w:b/>
                <w:color w:val="000000"/>
                <w:sz w:val="20"/>
                <w:szCs w:val="18"/>
              </w:rPr>
              <w:t>November 2020</w:t>
            </w:r>
          </w:p>
        </w:tc>
        <w:tc>
          <w:tcPr>
            <w:tcW w:w="1246"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49,252.7</w:t>
            </w:r>
          </w:p>
        </w:tc>
        <w:tc>
          <w:tcPr>
            <w:tcW w:w="980"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49,363.5</w:t>
            </w:r>
          </w:p>
        </w:tc>
        <w:tc>
          <w:tcPr>
            <w:tcW w:w="980"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53,442.6</w:t>
            </w:r>
          </w:p>
        </w:tc>
        <w:tc>
          <w:tcPr>
            <w:tcW w:w="1069"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58,238.5</w:t>
            </w:r>
          </w:p>
        </w:tc>
        <w:tc>
          <w:tcPr>
            <w:tcW w:w="980"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63,284.9</w:t>
            </w:r>
          </w:p>
        </w:tc>
        <w:tc>
          <w:tcPr>
            <w:tcW w:w="980" w:type="dxa"/>
            <w:noWrap/>
            <w:vAlign w:val="center"/>
            <w:hideMark/>
          </w:tcPr>
          <w:p w:rsidR="00452A6C" w:rsidRPr="00877C7B" w:rsidRDefault="00452A6C" w:rsidP="005B515A">
            <w:pPr>
              <w:pStyle w:val="NoSpacing"/>
              <w:jc w:val="center"/>
              <w:rPr>
                <w:rFonts w:eastAsia="Times New Roman" w:cstheme="minorHAnsi"/>
                <w:color w:val="000000"/>
                <w:sz w:val="20"/>
                <w:szCs w:val="18"/>
              </w:rPr>
            </w:pPr>
            <w:r w:rsidRPr="00877C7B">
              <w:rPr>
                <w:rFonts w:eastAsia="Times New Roman" w:cstheme="minorHAnsi"/>
                <w:color w:val="000000"/>
                <w:sz w:val="20"/>
                <w:szCs w:val="18"/>
              </w:rPr>
              <w:t>68,573.0</w:t>
            </w:r>
          </w:p>
        </w:tc>
      </w:tr>
    </w:tbl>
    <w:p w:rsidR="00993A61" w:rsidRPr="00877C7B" w:rsidRDefault="00993A61" w:rsidP="00A21683">
      <w:pPr>
        <w:pStyle w:val="NoSpacing"/>
        <w:jc w:val="both"/>
        <w:rPr>
          <w:rFonts w:cstheme="minorHAnsi"/>
          <w:lang w:val="ka-GE"/>
        </w:rPr>
      </w:pPr>
    </w:p>
    <w:p w:rsidR="009108FC" w:rsidRPr="00877C7B" w:rsidRDefault="00A21683" w:rsidP="00877C7B">
      <w:pPr>
        <w:pStyle w:val="NoSpacing"/>
        <w:spacing w:line="276" w:lineRule="auto"/>
        <w:ind w:firstLine="720"/>
        <w:jc w:val="both"/>
        <w:rPr>
          <w:rFonts w:cstheme="minorHAnsi"/>
        </w:rPr>
      </w:pPr>
      <w:r w:rsidRPr="00877C7B">
        <w:rPr>
          <w:rFonts w:cstheme="minorHAnsi"/>
        </w:rPr>
        <w:t>Table 2 shows the previous and updated forecasts of nominal GDP</w:t>
      </w:r>
      <w:r w:rsidR="009108FC" w:rsidRPr="00877C7B">
        <w:rPr>
          <w:rFonts w:cstheme="minorHAnsi"/>
        </w:rPr>
        <w:t>, for the end of 2019 and November of 2020</w:t>
      </w:r>
      <w:r w:rsidRPr="00877C7B">
        <w:rPr>
          <w:rFonts w:cstheme="minorHAnsi"/>
        </w:rPr>
        <w:t xml:space="preserve">. As we can see, </w:t>
      </w:r>
      <w:r w:rsidR="003C126E" w:rsidRPr="00877C7B">
        <w:rPr>
          <w:rFonts w:cstheme="minorHAnsi"/>
        </w:rPr>
        <w:t xml:space="preserve">the </w:t>
      </w:r>
      <w:r w:rsidR="009108FC" w:rsidRPr="00877C7B">
        <w:rPr>
          <w:rFonts w:cstheme="minorHAnsi"/>
        </w:rPr>
        <w:t xml:space="preserve">forecast </w:t>
      </w:r>
      <w:r w:rsidR="003C126E" w:rsidRPr="00877C7B">
        <w:rPr>
          <w:rFonts w:cstheme="minorHAnsi"/>
        </w:rPr>
        <w:t>for</w:t>
      </w:r>
      <w:r w:rsidR="009108FC" w:rsidRPr="00877C7B">
        <w:rPr>
          <w:rFonts w:cstheme="minorHAnsi"/>
        </w:rPr>
        <w:t xml:space="preserve"> nominal GDP is decreased due to the COVID-19. The reason will be faded by the </w:t>
      </w:r>
      <w:r w:rsidR="009D6A8B" w:rsidRPr="00877C7B">
        <w:rPr>
          <w:rFonts w:cstheme="minorHAnsi"/>
        </w:rPr>
        <w:t xml:space="preserve">reasons of </w:t>
      </w:r>
      <w:r w:rsidR="009108FC" w:rsidRPr="00877C7B">
        <w:rPr>
          <w:rFonts w:cstheme="minorHAnsi"/>
        </w:rPr>
        <w:t xml:space="preserve">real growth and change in prices explained in the previous paragraph. </w:t>
      </w:r>
    </w:p>
    <w:p w:rsidR="009108FC" w:rsidRPr="00877C7B" w:rsidRDefault="009108FC" w:rsidP="009108FC">
      <w:pPr>
        <w:pStyle w:val="NoSpacing"/>
        <w:jc w:val="both"/>
        <w:rPr>
          <w:rFonts w:cstheme="minorHAnsi"/>
        </w:rPr>
      </w:pPr>
    </w:p>
    <w:tbl>
      <w:tblPr>
        <w:tblStyle w:val="TableGrid"/>
        <w:tblW w:w="0" w:type="auto"/>
        <w:tblLook w:val="04A0" w:firstRow="1" w:lastRow="0" w:firstColumn="1" w:lastColumn="0" w:noHBand="0" w:noVBand="1"/>
      </w:tblPr>
      <w:tblGrid>
        <w:gridCol w:w="3638"/>
        <w:gridCol w:w="1069"/>
        <w:gridCol w:w="980"/>
        <w:gridCol w:w="980"/>
        <w:gridCol w:w="980"/>
        <w:gridCol w:w="980"/>
        <w:gridCol w:w="980"/>
      </w:tblGrid>
      <w:tr w:rsidR="009108FC" w:rsidRPr="00877C7B" w:rsidTr="00552D21">
        <w:trPr>
          <w:trHeight w:val="113"/>
          <w:tblHeader/>
        </w:trPr>
        <w:tc>
          <w:tcPr>
            <w:tcW w:w="3685" w:type="dxa"/>
            <w:noWrap/>
            <w:vAlign w:val="center"/>
            <w:hideMark/>
          </w:tcPr>
          <w:p w:rsidR="009108FC" w:rsidRPr="00877C7B" w:rsidRDefault="009108FC" w:rsidP="009108FC">
            <w:pPr>
              <w:rPr>
                <w:rFonts w:eastAsia="Times New Roman" w:cstheme="minorHAnsi"/>
                <w:b/>
                <w:bCs/>
                <w:color w:val="000000"/>
                <w:sz w:val="18"/>
                <w:szCs w:val="18"/>
                <w:lang w:val="ka-GE"/>
              </w:rPr>
            </w:pPr>
            <w:r w:rsidRPr="00877C7B">
              <w:rPr>
                <w:rFonts w:eastAsia="Times New Roman" w:cstheme="minorHAnsi"/>
                <w:b/>
                <w:bCs/>
                <w:color w:val="000000"/>
                <w:sz w:val="20"/>
                <w:szCs w:val="20"/>
              </w:rPr>
              <w:t xml:space="preserve">Table 3. Change in Real GDP </w:t>
            </w:r>
          </w:p>
        </w:tc>
        <w:tc>
          <w:tcPr>
            <w:tcW w:w="1080" w:type="dxa"/>
            <w:noWrap/>
            <w:vAlign w:val="center"/>
          </w:tcPr>
          <w:p w:rsidR="009108FC" w:rsidRPr="00877C7B" w:rsidRDefault="009108FC" w:rsidP="005B515A">
            <w:pPr>
              <w:jc w:val="center"/>
              <w:rPr>
                <w:rFonts w:eastAsia="Times New Roman" w:cstheme="minorHAnsi"/>
                <w:b/>
                <w:bCs/>
                <w:color w:val="000000"/>
                <w:sz w:val="18"/>
                <w:szCs w:val="18"/>
                <w:lang w:val="ka-GE"/>
              </w:rPr>
            </w:pP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p>
        </w:tc>
      </w:tr>
      <w:tr w:rsidR="009108FC" w:rsidRPr="00877C7B" w:rsidTr="00552D21">
        <w:trPr>
          <w:trHeight w:val="113"/>
        </w:trPr>
        <w:tc>
          <w:tcPr>
            <w:tcW w:w="3685" w:type="dxa"/>
            <w:noWrap/>
            <w:vAlign w:val="center"/>
          </w:tcPr>
          <w:p w:rsidR="009108FC" w:rsidRPr="00877C7B" w:rsidRDefault="009108FC" w:rsidP="005B515A">
            <w:pPr>
              <w:rPr>
                <w:rFonts w:eastAsia="Times New Roman" w:cstheme="minorHAnsi"/>
                <w:b/>
                <w:bCs/>
                <w:color w:val="000000"/>
                <w:sz w:val="18"/>
                <w:szCs w:val="18"/>
                <w:lang w:val="ka-GE"/>
              </w:rPr>
            </w:pPr>
            <w:r w:rsidRPr="00877C7B">
              <w:rPr>
                <w:rFonts w:eastAsia="Times New Roman" w:cstheme="minorHAnsi"/>
                <w:color w:val="000000"/>
                <w:sz w:val="20"/>
                <w:szCs w:val="20"/>
              </w:rPr>
              <w:t>(Million GEL)</w:t>
            </w:r>
          </w:p>
        </w:tc>
        <w:tc>
          <w:tcPr>
            <w:tcW w:w="108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99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99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99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99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990" w:type="dxa"/>
            <w:noWrap/>
            <w:vAlign w:val="center"/>
          </w:tcPr>
          <w:p w:rsidR="009108FC" w:rsidRPr="00877C7B" w:rsidRDefault="009108FC" w:rsidP="009108FC">
            <w:pPr>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9108FC" w:rsidRPr="00877C7B" w:rsidTr="00552D21">
        <w:trPr>
          <w:trHeight w:val="113"/>
        </w:trPr>
        <w:tc>
          <w:tcPr>
            <w:tcW w:w="3685" w:type="dxa"/>
            <w:noWrap/>
            <w:vAlign w:val="center"/>
          </w:tcPr>
          <w:p w:rsidR="009108FC" w:rsidRPr="00877C7B" w:rsidRDefault="009108FC" w:rsidP="005B515A">
            <w:pPr>
              <w:rPr>
                <w:rFonts w:eastAsia="Times New Roman" w:cstheme="minorHAnsi"/>
                <w:color w:val="000000"/>
                <w:sz w:val="20"/>
                <w:szCs w:val="20"/>
              </w:rPr>
            </w:pPr>
          </w:p>
        </w:tc>
        <w:tc>
          <w:tcPr>
            <w:tcW w:w="108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Actual</w:t>
            </w: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Expected</w:t>
            </w: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9108FC" w:rsidRPr="00877C7B" w:rsidRDefault="009108FC" w:rsidP="005B515A">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r>
      <w:tr w:rsidR="009108FC" w:rsidRPr="00877C7B" w:rsidTr="00552D21">
        <w:trPr>
          <w:trHeight w:val="113"/>
        </w:trPr>
        <w:tc>
          <w:tcPr>
            <w:tcW w:w="3685" w:type="dxa"/>
            <w:tcBorders>
              <w:bottom w:val="nil"/>
            </w:tcBorders>
            <w:noWrap/>
            <w:vAlign w:val="center"/>
            <w:hideMark/>
          </w:tcPr>
          <w:p w:rsidR="009108FC" w:rsidRPr="00877C7B" w:rsidRDefault="00194E3F" w:rsidP="005B515A">
            <w:pPr>
              <w:rPr>
                <w:rFonts w:eastAsia="Times New Roman" w:cstheme="minorHAnsi"/>
                <w:color w:val="000000"/>
                <w:sz w:val="18"/>
                <w:szCs w:val="18"/>
              </w:rPr>
            </w:pPr>
            <w:r w:rsidRPr="00877C7B">
              <w:rPr>
                <w:rFonts w:eastAsia="Times New Roman" w:cstheme="minorHAnsi"/>
                <w:b/>
                <w:bCs/>
                <w:color w:val="000000"/>
                <w:sz w:val="20"/>
                <w:szCs w:val="20"/>
              </w:rPr>
              <w:t xml:space="preserve">Forecast of Real GDP December 2019 </w:t>
            </w:r>
          </w:p>
        </w:tc>
        <w:tc>
          <w:tcPr>
            <w:tcW w:w="108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40,228.0</w:t>
            </w:r>
          </w:p>
        </w:tc>
        <w:tc>
          <w:tcPr>
            <w:tcW w:w="99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42,038.3</w:t>
            </w:r>
          </w:p>
        </w:tc>
        <w:tc>
          <w:tcPr>
            <w:tcW w:w="99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44,140.2</w:t>
            </w:r>
          </w:p>
        </w:tc>
        <w:tc>
          <w:tcPr>
            <w:tcW w:w="99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46,347.2</w:t>
            </w:r>
          </w:p>
        </w:tc>
        <w:tc>
          <w:tcPr>
            <w:tcW w:w="99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48,896.3</w:t>
            </w:r>
          </w:p>
        </w:tc>
        <w:tc>
          <w:tcPr>
            <w:tcW w:w="990" w:type="dxa"/>
            <w:tcBorders>
              <w:bottom w:val="nil"/>
            </w:tcBorders>
            <w:noWrap/>
            <w:vAlign w:val="center"/>
            <w:hideMark/>
          </w:tcPr>
          <w:p w:rsidR="009108FC" w:rsidRPr="00877C7B" w:rsidRDefault="009108FC" w:rsidP="005B515A">
            <w:pPr>
              <w:jc w:val="center"/>
              <w:rPr>
                <w:rFonts w:eastAsia="Times New Roman" w:cstheme="minorHAnsi"/>
                <w:color w:val="000000"/>
                <w:sz w:val="18"/>
                <w:szCs w:val="18"/>
                <w:lang w:val="ka-GE"/>
              </w:rPr>
            </w:pPr>
            <w:r w:rsidRPr="00877C7B">
              <w:rPr>
                <w:rFonts w:eastAsia="Times New Roman" w:cstheme="minorHAnsi"/>
                <w:color w:val="000000"/>
                <w:sz w:val="18"/>
                <w:szCs w:val="18"/>
                <w:lang w:val="ka-GE"/>
              </w:rPr>
              <w:t>-</w:t>
            </w:r>
          </w:p>
        </w:tc>
      </w:tr>
      <w:tr w:rsidR="009108FC" w:rsidRPr="00877C7B" w:rsidTr="00552D21">
        <w:trPr>
          <w:trHeight w:val="113"/>
        </w:trPr>
        <w:tc>
          <w:tcPr>
            <w:tcW w:w="3685" w:type="dxa"/>
            <w:tcBorders>
              <w:top w:val="nil"/>
            </w:tcBorders>
            <w:noWrap/>
            <w:vAlign w:val="center"/>
            <w:hideMark/>
          </w:tcPr>
          <w:p w:rsidR="009108FC" w:rsidRPr="00877C7B" w:rsidRDefault="00194E3F" w:rsidP="005B515A">
            <w:pPr>
              <w:rPr>
                <w:rFonts w:eastAsia="Times New Roman" w:cstheme="minorHAnsi"/>
                <w:color w:val="000000"/>
                <w:sz w:val="18"/>
                <w:szCs w:val="18"/>
              </w:rPr>
            </w:pPr>
            <w:r w:rsidRPr="00877C7B">
              <w:rPr>
                <w:rFonts w:eastAsia="Times New Roman" w:cstheme="minorHAnsi"/>
                <w:b/>
                <w:bCs/>
                <w:color w:val="000000"/>
                <w:sz w:val="20"/>
                <w:szCs w:val="20"/>
              </w:rPr>
              <w:t>Total change in Real GDP</w:t>
            </w:r>
          </w:p>
        </w:tc>
        <w:tc>
          <w:tcPr>
            <w:tcW w:w="108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70.0</w:t>
            </w:r>
          </w:p>
        </w:tc>
        <w:tc>
          <w:tcPr>
            <w:tcW w:w="99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-3,754.8</w:t>
            </w:r>
          </w:p>
        </w:tc>
        <w:tc>
          <w:tcPr>
            <w:tcW w:w="99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-4,210.6</w:t>
            </w:r>
          </w:p>
        </w:tc>
        <w:tc>
          <w:tcPr>
            <w:tcW w:w="99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-4,101.7</w:t>
            </w:r>
          </w:p>
        </w:tc>
        <w:tc>
          <w:tcPr>
            <w:tcW w:w="99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-4,327.3</w:t>
            </w:r>
          </w:p>
        </w:tc>
        <w:tc>
          <w:tcPr>
            <w:tcW w:w="990" w:type="dxa"/>
            <w:tcBorders>
              <w:top w:val="nil"/>
            </w:tcBorders>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46,886.6</w:t>
            </w:r>
          </w:p>
        </w:tc>
      </w:tr>
      <w:tr w:rsidR="009108FC" w:rsidRPr="00877C7B" w:rsidTr="00552D21">
        <w:trPr>
          <w:trHeight w:val="113"/>
        </w:trPr>
        <w:tc>
          <w:tcPr>
            <w:tcW w:w="3685" w:type="dxa"/>
            <w:noWrap/>
            <w:vAlign w:val="center"/>
            <w:hideMark/>
          </w:tcPr>
          <w:p w:rsidR="009108FC" w:rsidRPr="00877C7B" w:rsidRDefault="00194E3F" w:rsidP="005B515A">
            <w:pPr>
              <w:rPr>
                <w:rFonts w:eastAsia="Times New Roman" w:cstheme="minorHAnsi"/>
                <w:color w:val="000000"/>
                <w:sz w:val="18"/>
                <w:szCs w:val="18"/>
              </w:rPr>
            </w:pPr>
            <w:r w:rsidRPr="00877C7B">
              <w:rPr>
                <w:rFonts w:eastAsia="Times New Roman" w:cstheme="minorHAnsi"/>
                <w:b/>
                <w:bCs/>
                <w:color w:val="000000"/>
                <w:sz w:val="20"/>
                <w:szCs w:val="20"/>
              </w:rPr>
              <w:t xml:space="preserve">Forecast of Real GDP November 2020 </w:t>
            </w:r>
          </w:p>
        </w:tc>
        <w:tc>
          <w:tcPr>
            <w:tcW w:w="108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40,298.0</w:t>
            </w:r>
          </w:p>
        </w:tc>
        <w:tc>
          <w:tcPr>
            <w:tcW w:w="99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38,283.4</w:t>
            </w:r>
          </w:p>
        </w:tc>
        <w:tc>
          <w:tcPr>
            <w:tcW w:w="99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39,929.6</w:t>
            </w:r>
          </w:p>
        </w:tc>
        <w:tc>
          <w:tcPr>
            <w:tcW w:w="99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42,245.5</w:t>
            </w:r>
          </w:p>
        </w:tc>
        <w:tc>
          <w:tcPr>
            <w:tcW w:w="99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44,569.0</w:t>
            </w:r>
          </w:p>
        </w:tc>
        <w:tc>
          <w:tcPr>
            <w:tcW w:w="990" w:type="dxa"/>
            <w:noWrap/>
            <w:vAlign w:val="center"/>
            <w:hideMark/>
          </w:tcPr>
          <w:p w:rsidR="009108FC" w:rsidRPr="00877C7B" w:rsidRDefault="009108FC" w:rsidP="005B515A">
            <w:pPr>
              <w:jc w:val="center"/>
              <w:rPr>
                <w:rFonts w:eastAsia="Times New Roman" w:cstheme="minorHAnsi"/>
                <w:color w:val="000000"/>
                <w:sz w:val="18"/>
                <w:szCs w:val="18"/>
              </w:rPr>
            </w:pPr>
            <w:r w:rsidRPr="00877C7B">
              <w:rPr>
                <w:rFonts w:eastAsia="Times New Roman" w:cstheme="minorHAnsi"/>
                <w:color w:val="000000"/>
                <w:sz w:val="18"/>
                <w:szCs w:val="18"/>
              </w:rPr>
              <w:t>46,886.6</w:t>
            </w:r>
          </w:p>
        </w:tc>
      </w:tr>
    </w:tbl>
    <w:p w:rsidR="00A21683" w:rsidRPr="00877C7B" w:rsidRDefault="00A21683" w:rsidP="00A21683">
      <w:pPr>
        <w:pStyle w:val="NoSpacing"/>
        <w:jc w:val="both"/>
        <w:rPr>
          <w:rFonts w:cstheme="minorHAnsi"/>
        </w:rPr>
      </w:pPr>
    </w:p>
    <w:p w:rsidR="00A21683" w:rsidRPr="00877C7B" w:rsidRDefault="00A21683" w:rsidP="00A21683">
      <w:pPr>
        <w:pStyle w:val="NoSpacing"/>
        <w:jc w:val="both"/>
        <w:rPr>
          <w:rFonts w:cstheme="minorHAnsi"/>
        </w:rPr>
      </w:pPr>
    </w:p>
    <w:tbl>
      <w:tblPr>
        <w:tblStyle w:val="TableGrid"/>
        <w:tblW w:w="9985" w:type="dxa"/>
        <w:tblLook w:val="04A0" w:firstRow="1" w:lastRow="0" w:firstColumn="1" w:lastColumn="0" w:noHBand="0" w:noVBand="1"/>
      </w:tblPr>
      <w:tblGrid>
        <w:gridCol w:w="3865"/>
        <w:gridCol w:w="1170"/>
        <w:gridCol w:w="962"/>
        <w:gridCol w:w="1125"/>
        <w:gridCol w:w="990"/>
        <w:gridCol w:w="990"/>
        <w:gridCol w:w="990"/>
      </w:tblGrid>
      <w:tr w:rsidR="00194E3F" w:rsidRPr="00877C7B" w:rsidTr="00552D21">
        <w:trPr>
          <w:trHeight w:val="113"/>
          <w:tblHeader/>
        </w:trPr>
        <w:tc>
          <w:tcPr>
            <w:tcW w:w="3865" w:type="dxa"/>
            <w:noWrap/>
            <w:vAlign w:val="center"/>
            <w:hideMark/>
          </w:tcPr>
          <w:p w:rsidR="00194E3F" w:rsidRPr="00877C7B" w:rsidRDefault="00194E3F" w:rsidP="005B515A">
            <w:pPr>
              <w:pStyle w:val="NoSpacing"/>
              <w:rPr>
                <w:rFonts w:eastAsia="Times New Roman" w:cstheme="minorHAnsi"/>
                <w:b/>
                <w:bCs/>
                <w:color w:val="000000"/>
                <w:sz w:val="20"/>
                <w:szCs w:val="18"/>
              </w:rPr>
            </w:pPr>
            <w:r w:rsidRPr="00877C7B">
              <w:rPr>
                <w:rFonts w:eastAsia="Times New Roman" w:cstheme="minorHAnsi"/>
                <w:b/>
                <w:bCs/>
                <w:color w:val="000000"/>
                <w:sz w:val="20"/>
                <w:szCs w:val="20"/>
              </w:rPr>
              <w:t>Table 4. General Government Budget</w:t>
            </w:r>
          </w:p>
        </w:tc>
        <w:tc>
          <w:tcPr>
            <w:tcW w:w="1170" w:type="dxa"/>
            <w:noWrap/>
            <w:vAlign w:val="center"/>
          </w:tcPr>
          <w:p w:rsidR="00194E3F" w:rsidRPr="00877C7B" w:rsidRDefault="00194E3F" w:rsidP="005B515A">
            <w:pPr>
              <w:pStyle w:val="NoSpacing"/>
              <w:jc w:val="center"/>
              <w:rPr>
                <w:rFonts w:eastAsia="Times New Roman" w:cstheme="minorHAnsi"/>
                <w:b/>
                <w:bCs/>
                <w:color w:val="000000"/>
                <w:sz w:val="18"/>
                <w:szCs w:val="18"/>
                <w:lang w:val="ka-GE"/>
              </w:rPr>
            </w:pPr>
          </w:p>
        </w:tc>
        <w:tc>
          <w:tcPr>
            <w:tcW w:w="855" w:type="dxa"/>
            <w:noWrap/>
            <w:vAlign w:val="center"/>
          </w:tcPr>
          <w:p w:rsidR="00194E3F" w:rsidRPr="00877C7B" w:rsidRDefault="00194E3F" w:rsidP="005B515A">
            <w:pPr>
              <w:pStyle w:val="NoSpacing"/>
              <w:jc w:val="center"/>
              <w:rPr>
                <w:rFonts w:eastAsia="Times New Roman" w:cstheme="minorHAnsi"/>
                <w:b/>
                <w:bCs/>
                <w:color w:val="000000"/>
                <w:sz w:val="18"/>
                <w:szCs w:val="18"/>
                <w:lang w:val="ka-GE"/>
              </w:rPr>
            </w:pPr>
          </w:p>
        </w:tc>
        <w:tc>
          <w:tcPr>
            <w:tcW w:w="1125" w:type="dxa"/>
            <w:noWrap/>
            <w:vAlign w:val="center"/>
          </w:tcPr>
          <w:p w:rsidR="00194E3F" w:rsidRPr="00877C7B" w:rsidRDefault="00194E3F" w:rsidP="005B515A">
            <w:pPr>
              <w:pStyle w:val="NoSpacing"/>
              <w:jc w:val="center"/>
              <w:rPr>
                <w:rFonts w:eastAsia="Times New Roman" w:cstheme="minorHAnsi"/>
                <w:b/>
                <w:bCs/>
                <w:color w:val="000000"/>
                <w:sz w:val="18"/>
                <w:szCs w:val="18"/>
              </w:rPr>
            </w:pPr>
          </w:p>
        </w:tc>
        <w:tc>
          <w:tcPr>
            <w:tcW w:w="990" w:type="dxa"/>
            <w:noWrap/>
            <w:vAlign w:val="center"/>
          </w:tcPr>
          <w:p w:rsidR="00194E3F" w:rsidRPr="00877C7B" w:rsidRDefault="00194E3F" w:rsidP="005B515A">
            <w:pPr>
              <w:pStyle w:val="NoSpacing"/>
              <w:jc w:val="center"/>
              <w:rPr>
                <w:rFonts w:eastAsia="Times New Roman" w:cstheme="minorHAnsi"/>
                <w:b/>
                <w:bCs/>
                <w:color w:val="000000"/>
                <w:sz w:val="18"/>
                <w:szCs w:val="18"/>
              </w:rPr>
            </w:pPr>
          </w:p>
        </w:tc>
        <w:tc>
          <w:tcPr>
            <w:tcW w:w="990" w:type="dxa"/>
            <w:noWrap/>
            <w:vAlign w:val="center"/>
          </w:tcPr>
          <w:p w:rsidR="00194E3F" w:rsidRPr="00877C7B" w:rsidRDefault="00194E3F" w:rsidP="005B515A">
            <w:pPr>
              <w:pStyle w:val="NoSpacing"/>
              <w:jc w:val="center"/>
              <w:rPr>
                <w:rFonts w:eastAsia="Times New Roman" w:cstheme="minorHAnsi"/>
                <w:b/>
                <w:bCs/>
                <w:color w:val="000000"/>
                <w:sz w:val="18"/>
                <w:szCs w:val="18"/>
              </w:rPr>
            </w:pPr>
          </w:p>
        </w:tc>
        <w:tc>
          <w:tcPr>
            <w:tcW w:w="990" w:type="dxa"/>
            <w:noWrap/>
            <w:vAlign w:val="center"/>
          </w:tcPr>
          <w:p w:rsidR="00194E3F" w:rsidRPr="00877C7B" w:rsidRDefault="00194E3F" w:rsidP="005B515A">
            <w:pPr>
              <w:pStyle w:val="NoSpacing"/>
              <w:jc w:val="center"/>
              <w:rPr>
                <w:rFonts w:eastAsia="Times New Roman" w:cstheme="minorHAnsi"/>
                <w:b/>
                <w:bCs/>
                <w:color w:val="000000"/>
                <w:sz w:val="18"/>
                <w:szCs w:val="18"/>
              </w:rPr>
            </w:pPr>
          </w:p>
        </w:tc>
      </w:tr>
      <w:tr w:rsidR="00194E3F" w:rsidRPr="00877C7B" w:rsidTr="00552D21">
        <w:trPr>
          <w:trHeight w:val="113"/>
        </w:trPr>
        <w:tc>
          <w:tcPr>
            <w:tcW w:w="3865" w:type="dxa"/>
            <w:noWrap/>
            <w:vAlign w:val="center"/>
          </w:tcPr>
          <w:p w:rsidR="00194E3F" w:rsidRPr="00877C7B" w:rsidRDefault="00194E3F" w:rsidP="00194E3F">
            <w:pPr>
              <w:pStyle w:val="NoSpacing"/>
              <w:rPr>
                <w:rFonts w:eastAsia="Times New Roman" w:cstheme="minorHAnsi"/>
                <w:b/>
                <w:bCs/>
                <w:color w:val="000000"/>
                <w:sz w:val="20"/>
                <w:szCs w:val="18"/>
              </w:rPr>
            </w:pPr>
            <w:r w:rsidRPr="00877C7B">
              <w:rPr>
                <w:rFonts w:eastAsia="Times New Roman" w:cstheme="minorHAnsi"/>
                <w:color w:val="000000"/>
                <w:sz w:val="20"/>
                <w:szCs w:val="20"/>
              </w:rPr>
              <w:t>(Million GEL)</w:t>
            </w:r>
          </w:p>
        </w:tc>
        <w:tc>
          <w:tcPr>
            <w:tcW w:w="1170" w:type="dxa"/>
            <w:noWrap/>
            <w:vAlign w:val="center"/>
          </w:tcPr>
          <w:p w:rsidR="00194E3F" w:rsidRPr="00877C7B" w:rsidRDefault="00194E3F" w:rsidP="00194E3F">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855" w:type="dxa"/>
            <w:noWrap/>
            <w:vAlign w:val="center"/>
          </w:tcPr>
          <w:p w:rsidR="00194E3F" w:rsidRPr="00877C7B" w:rsidRDefault="00194E3F" w:rsidP="00194E3F">
            <w:pPr>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1125" w:type="dxa"/>
            <w:noWrap/>
            <w:vAlign w:val="center"/>
          </w:tcPr>
          <w:p w:rsidR="00194E3F" w:rsidRPr="00877C7B" w:rsidRDefault="00194E3F" w:rsidP="00194E3F">
            <w:pPr>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990" w:type="dxa"/>
            <w:noWrap/>
            <w:vAlign w:val="center"/>
          </w:tcPr>
          <w:p w:rsidR="00194E3F" w:rsidRPr="00877C7B" w:rsidRDefault="00194E3F" w:rsidP="00194E3F">
            <w:pPr>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990" w:type="dxa"/>
            <w:noWrap/>
            <w:vAlign w:val="center"/>
          </w:tcPr>
          <w:p w:rsidR="00194E3F" w:rsidRPr="00877C7B" w:rsidRDefault="00194E3F" w:rsidP="00194E3F">
            <w:pPr>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990" w:type="dxa"/>
            <w:noWrap/>
            <w:vAlign w:val="center"/>
          </w:tcPr>
          <w:p w:rsidR="00194E3F" w:rsidRPr="00877C7B" w:rsidRDefault="00194E3F" w:rsidP="00194E3F">
            <w:pPr>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194E3F" w:rsidRPr="00877C7B" w:rsidTr="00552D21">
        <w:trPr>
          <w:trHeight w:val="113"/>
        </w:trPr>
        <w:tc>
          <w:tcPr>
            <w:tcW w:w="3865" w:type="dxa"/>
            <w:noWrap/>
            <w:vAlign w:val="center"/>
          </w:tcPr>
          <w:p w:rsidR="00194E3F" w:rsidRPr="00877C7B" w:rsidRDefault="00194E3F" w:rsidP="00194E3F">
            <w:pPr>
              <w:pStyle w:val="NoSpacing"/>
              <w:rPr>
                <w:rFonts w:eastAsia="Times New Roman" w:cstheme="minorHAnsi"/>
                <w:color w:val="000000"/>
                <w:sz w:val="20"/>
                <w:szCs w:val="20"/>
              </w:rPr>
            </w:pPr>
          </w:p>
        </w:tc>
        <w:tc>
          <w:tcPr>
            <w:tcW w:w="1170"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Actual</w:t>
            </w:r>
          </w:p>
        </w:tc>
        <w:tc>
          <w:tcPr>
            <w:tcW w:w="855"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Expected</w:t>
            </w:r>
          </w:p>
        </w:tc>
        <w:tc>
          <w:tcPr>
            <w:tcW w:w="1125"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noWrap/>
            <w:vAlign w:val="center"/>
          </w:tcPr>
          <w:p w:rsidR="00194E3F" w:rsidRPr="00877C7B" w:rsidRDefault="00194E3F" w:rsidP="00194E3F">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r>
      <w:tr w:rsidR="00194E3F" w:rsidRPr="00877C7B" w:rsidTr="00552D21">
        <w:trPr>
          <w:trHeight w:val="113"/>
        </w:trPr>
        <w:tc>
          <w:tcPr>
            <w:tcW w:w="3865" w:type="dxa"/>
            <w:tcBorders>
              <w:bottom w:val="nil"/>
            </w:tcBorders>
            <w:noWrap/>
            <w:vAlign w:val="center"/>
            <w:hideMark/>
          </w:tcPr>
          <w:p w:rsidR="00194E3F" w:rsidRPr="00877C7B" w:rsidRDefault="00194E3F" w:rsidP="00194E3F">
            <w:pPr>
              <w:pStyle w:val="NoSpacing"/>
              <w:rPr>
                <w:rFonts w:eastAsia="Times New Roman" w:cstheme="minorHAnsi"/>
                <w:color w:val="000000"/>
                <w:sz w:val="20"/>
                <w:szCs w:val="18"/>
              </w:rPr>
            </w:pPr>
            <w:r w:rsidRPr="00877C7B">
              <w:rPr>
                <w:rFonts w:eastAsia="Times New Roman" w:cstheme="minorHAnsi"/>
                <w:b/>
                <w:bCs/>
                <w:color w:val="000000"/>
                <w:sz w:val="20"/>
                <w:szCs w:val="20"/>
              </w:rPr>
              <w:t>Forecasts of Revenues December 2019</w:t>
            </w:r>
          </w:p>
        </w:tc>
        <w:tc>
          <w:tcPr>
            <w:tcW w:w="117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12,705.0</w:t>
            </w:r>
          </w:p>
        </w:tc>
        <w:tc>
          <w:tcPr>
            <w:tcW w:w="855"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13,612.0</w:t>
            </w:r>
          </w:p>
        </w:tc>
        <w:tc>
          <w:tcPr>
            <w:tcW w:w="1125"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14,751.0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15,805.0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17,056.0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lang w:val="ka-GE"/>
              </w:rPr>
            </w:pPr>
            <w:r w:rsidRPr="00877C7B">
              <w:rPr>
                <w:rFonts w:eastAsia="Times New Roman" w:cstheme="minorHAnsi"/>
                <w:color w:val="000000"/>
                <w:sz w:val="18"/>
                <w:szCs w:val="18"/>
                <w:lang w:val="ka-GE"/>
              </w:rPr>
              <w:t>-</w:t>
            </w:r>
          </w:p>
        </w:tc>
      </w:tr>
      <w:tr w:rsidR="00194E3F" w:rsidRPr="00877C7B" w:rsidTr="00552D21">
        <w:trPr>
          <w:trHeight w:val="113"/>
        </w:trPr>
        <w:tc>
          <w:tcPr>
            <w:tcW w:w="3865" w:type="dxa"/>
            <w:tcBorders>
              <w:top w:val="nil"/>
            </w:tcBorders>
            <w:noWrap/>
            <w:vAlign w:val="center"/>
            <w:hideMark/>
          </w:tcPr>
          <w:p w:rsidR="00194E3F" w:rsidRPr="00877C7B" w:rsidRDefault="00194E3F" w:rsidP="00194E3F">
            <w:pPr>
              <w:pStyle w:val="NoSpacing"/>
              <w:rPr>
                <w:rFonts w:eastAsia="Times New Roman" w:cstheme="minorHAnsi"/>
                <w:color w:val="000000"/>
                <w:sz w:val="20"/>
                <w:szCs w:val="18"/>
              </w:rPr>
            </w:pPr>
            <w:r w:rsidRPr="00877C7B">
              <w:rPr>
                <w:rFonts w:eastAsia="Times New Roman" w:cstheme="minorHAnsi"/>
                <w:b/>
                <w:bCs/>
                <w:color w:val="000000"/>
                <w:sz w:val="20"/>
                <w:szCs w:val="20"/>
              </w:rPr>
              <w:t xml:space="preserve">Forecasts of Revenues November 2020 </w:t>
            </w:r>
          </w:p>
        </w:tc>
        <w:tc>
          <w:tcPr>
            <w:tcW w:w="117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12,907.3</w:t>
            </w:r>
          </w:p>
        </w:tc>
        <w:tc>
          <w:tcPr>
            <w:tcW w:w="855"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12,626.0</w:t>
            </w:r>
          </w:p>
        </w:tc>
        <w:tc>
          <w:tcPr>
            <w:tcW w:w="1125"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13,402.0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14,969.0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16,331.0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17,827.0</w:t>
            </w:r>
          </w:p>
        </w:tc>
      </w:tr>
      <w:tr w:rsidR="00194E3F" w:rsidRPr="00877C7B" w:rsidTr="00552D21">
        <w:trPr>
          <w:trHeight w:val="113"/>
        </w:trPr>
        <w:tc>
          <w:tcPr>
            <w:tcW w:w="3865" w:type="dxa"/>
            <w:tcBorders>
              <w:bottom w:val="nil"/>
            </w:tcBorders>
            <w:noWrap/>
            <w:vAlign w:val="center"/>
            <w:hideMark/>
          </w:tcPr>
          <w:p w:rsidR="00194E3F" w:rsidRPr="00877C7B" w:rsidRDefault="00194E3F" w:rsidP="00194E3F">
            <w:pPr>
              <w:pStyle w:val="NoSpacing"/>
              <w:rPr>
                <w:rFonts w:eastAsia="Times New Roman" w:cstheme="minorHAnsi"/>
                <w:color w:val="000000"/>
                <w:sz w:val="20"/>
                <w:szCs w:val="18"/>
              </w:rPr>
            </w:pPr>
            <w:r w:rsidRPr="00877C7B">
              <w:rPr>
                <w:rFonts w:eastAsia="Times New Roman" w:cstheme="minorHAnsi"/>
                <w:b/>
                <w:bCs/>
                <w:color w:val="000000"/>
                <w:sz w:val="20"/>
                <w:szCs w:val="20"/>
              </w:rPr>
              <w:t>Previous Forecast of Expenses and Acquisition of Non</w:t>
            </w:r>
            <w:r w:rsidR="009D6A8B" w:rsidRPr="00877C7B">
              <w:rPr>
                <w:rFonts w:eastAsia="Times New Roman" w:cstheme="minorHAnsi"/>
                <w:b/>
                <w:bCs/>
                <w:color w:val="000000"/>
                <w:sz w:val="20"/>
                <w:szCs w:val="20"/>
              </w:rPr>
              <w:t>-</w:t>
            </w:r>
            <w:r w:rsidRPr="00877C7B">
              <w:rPr>
                <w:rFonts w:eastAsia="Times New Roman" w:cstheme="minorHAnsi"/>
                <w:b/>
                <w:bCs/>
                <w:color w:val="000000"/>
                <w:sz w:val="20"/>
                <w:szCs w:val="20"/>
              </w:rPr>
              <w:t>financial Assets</w:t>
            </w:r>
          </w:p>
        </w:tc>
        <w:tc>
          <w:tcPr>
            <w:tcW w:w="117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13,912.0</w:t>
            </w:r>
          </w:p>
        </w:tc>
        <w:tc>
          <w:tcPr>
            <w:tcW w:w="855"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15,099.0</w:t>
            </w:r>
          </w:p>
        </w:tc>
        <w:tc>
          <w:tcPr>
            <w:tcW w:w="1125"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16,194.0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17,420.0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18,782.0</w:t>
            </w:r>
          </w:p>
        </w:tc>
        <w:tc>
          <w:tcPr>
            <w:tcW w:w="990" w:type="dxa"/>
            <w:tcBorders>
              <w:bottom w:val="nil"/>
            </w:tcBorders>
            <w:noWrap/>
            <w:vAlign w:val="center"/>
            <w:hideMark/>
          </w:tcPr>
          <w:p w:rsidR="00194E3F" w:rsidRPr="00877C7B" w:rsidRDefault="00194E3F" w:rsidP="00194E3F">
            <w:pPr>
              <w:pStyle w:val="NoSpacing"/>
              <w:jc w:val="center"/>
              <w:rPr>
                <w:rFonts w:eastAsia="Times New Roman" w:cstheme="minorHAnsi"/>
                <w:color w:val="000000"/>
                <w:sz w:val="18"/>
                <w:szCs w:val="18"/>
                <w:lang w:val="ka-GE"/>
              </w:rPr>
            </w:pPr>
            <w:r w:rsidRPr="00877C7B">
              <w:rPr>
                <w:rFonts w:eastAsia="Times New Roman" w:cstheme="minorHAnsi"/>
                <w:color w:val="000000"/>
                <w:sz w:val="18"/>
                <w:szCs w:val="18"/>
                <w:lang w:val="ka-GE"/>
              </w:rPr>
              <w:t>-</w:t>
            </w:r>
          </w:p>
        </w:tc>
      </w:tr>
      <w:tr w:rsidR="00194E3F" w:rsidRPr="00877C7B" w:rsidTr="00552D21">
        <w:trPr>
          <w:trHeight w:val="113"/>
        </w:trPr>
        <w:tc>
          <w:tcPr>
            <w:tcW w:w="3865" w:type="dxa"/>
            <w:tcBorders>
              <w:top w:val="nil"/>
            </w:tcBorders>
            <w:noWrap/>
            <w:vAlign w:val="center"/>
            <w:hideMark/>
          </w:tcPr>
          <w:p w:rsidR="00194E3F" w:rsidRPr="00877C7B" w:rsidRDefault="00194E3F" w:rsidP="00194E3F">
            <w:pPr>
              <w:pStyle w:val="NoSpacing"/>
              <w:rPr>
                <w:rFonts w:eastAsia="Times New Roman" w:cstheme="minorHAnsi"/>
                <w:color w:val="000000"/>
                <w:sz w:val="20"/>
                <w:szCs w:val="18"/>
              </w:rPr>
            </w:pPr>
            <w:r w:rsidRPr="00877C7B">
              <w:rPr>
                <w:rFonts w:eastAsia="Times New Roman" w:cstheme="minorHAnsi"/>
                <w:b/>
                <w:bCs/>
                <w:color w:val="000000"/>
                <w:sz w:val="20"/>
                <w:szCs w:val="20"/>
              </w:rPr>
              <w:t>Updated Forecast of Expenses and Acquisition of Non</w:t>
            </w:r>
            <w:r w:rsidR="009D6A8B" w:rsidRPr="00877C7B">
              <w:rPr>
                <w:rFonts w:eastAsia="Times New Roman" w:cstheme="minorHAnsi"/>
                <w:b/>
                <w:bCs/>
                <w:color w:val="000000"/>
                <w:sz w:val="20"/>
                <w:szCs w:val="20"/>
              </w:rPr>
              <w:t>-</w:t>
            </w:r>
            <w:r w:rsidRPr="00877C7B">
              <w:rPr>
                <w:rFonts w:eastAsia="Times New Roman" w:cstheme="minorHAnsi"/>
                <w:b/>
                <w:bCs/>
                <w:color w:val="000000"/>
                <w:sz w:val="20"/>
                <w:szCs w:val="20"/>
              </w:rPr>
              <w:t>financial Assets</w:t>
            </w:r>
          </w:p>
        </w:tc>
        <w:tc>
          <w:tcPr>
            <w:tcW w:w="117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14,465.9</w:t>
            </w:r>
          </w:p>
        </w:tc>
        <w:tc>
          <w:tcPr>
            <w:tcW w:w="855"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16,976.0</w:t>
            </w:r>
          </w:p>
        </w:tc>
        <w:tc>
          <w:tcPr>
            <w:tcW w:w="1125"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17,643.0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17,618.0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18,394.0</w:t>
            </w:r>
          </w:p>
        </w:tc>
        <w:tc>
          <w:tcPr>
            <w:tcW w:w="990" w:type="dxa"/>
            <w:tcBorders>
              <w:top w:val="nil"/>
            </w:tcBorders>
            <w:noWrap/>
            <w:vAlign w:val="center"/>
            <w:hideMark/>
          </w:tcPr>
          <w:p w:rsidR="00194E3F" w:rsidRPr="00877C7B" w:rsidRDefault="00194E3F" w:rsidP="00194E3F">
            <w:pPr>
              <w:pStyle w:val="NoSpacing"/>
              <w:jc w:val="center"/>
              <w:rPr>
                <w:rFonts w:eastAsia="Times New Roman" w:cstheme="minorHAnsi"/>
                <w:color w:val="000000"/>
                <w:sz w:val="18"/>
                <w:szCs w:val="18"/>
              </w:rPr>
            </w:pPr>
            <w:r w:rsidRPr="00877C7B">
              <w:rPr>
                <w:rFonts w:eastAsia="Times New Roman" w:cstheme="minorHAnsi"/>
                <w:color w:val="000000"/>
                <w:sz w:val="18"/>
                <w:szCs w:val="18"/>
              </w:rPr>
              <w:t>19,723.0</w:t>
            </w:r>
          </w:p>
        </w:tc>
      </w:tr>
    </w:tbl>
    <w:p w:rsidR="00194E3F" w:rsidRPr="00877C7B" w:rsidRDefault="00194E3F" w:rsidP="00A21683">
      <w:pPr>
        <w:pStyle w:val="NoSpacing"/>
        <w:jc w:val="both"/>
        <w:rPr>
          <w:rFonts w:cstheme="minorHAnsi"/>
        </w:rPr>
      </w:pPr>
    </w:p>
    <w:p w:rsidR="00877C7B" w:rsidRPr="00877C7B" w:rsidRDefault="006371E0" w:rsidP="00877C7B">
      <w:pPr>
        <w:pStyle w:val="NoSpacing"/>
        <w:spacing w:line="276" w:lineRule="auto"/>
        <w:ind w:firstLine="720"/>
        <w:jc w:val="both"/>
        <w:rPr>
          <w:rFonts w:cstheme="minorHAnsi"/>
        </w:rPr>
      </w:pPr>
      <w:r w:rsidRPr="00877C7B">
        <w:rPr>
          <w:rFonts w:cstheme="minorHAnsi"/>
        </w:rPr>
        <w:t xml:space="preserve">The changes in the General Government Budget Forecasts are </w:t>
      </w:r>
      <w:r w:rsidR="009D6A8B" w:rsidRPr="00877C7B">
        <w:rPr>
          <w:rFonts w:cstheme="minorHAnsi"/>
        </w:rPr>
        <w:t>shown in Table 4. As we can see</w:t>
      </w:r>
      <w:r w:rsidRPr="00877C7B">
        <w:rPr>
          <w:rFonts w:cstheme="minorHAnsi"/>
        </w:rPr>
        <w:t xml:space="preserve"> the updated forecasts of the General Government Budget revenues have </w:t>
      </w:r>
      <w:r w:rsidR="009D6A8B" w:rsidRPr="00877C7B">
        <w:rPr>
          <w:rFonts w:cstheme="minorHAnsi"/>
        </w:rPr>
        <w:t xml:space="preserve">been </w:t>
      </w:r>
      <w:r w:rsidRPr="00877C7B">
        <w:rPr>
          <w:rFonts w:cstheme="minorHAnsi"/>
        </w:rPr>
        <w:t xml:space="preserve">decreased, which is related </w:t>
      </w:r>
      <w:r w:rsidR="003C126E" w:rsidRPr="00877C7B">
        <w:rPr>
          <w:rFonts w:cstheme="minorHAnsi"/>
        </w:rPr>
        <w:t>to</w:t>
      </w:r>
      <w:r w:rsidRPr="00877C7B">
        <w:rPr>
          <w:rFonts w:cstheme="minorHAnsi"/>
        </w:rPr>
        <w:t xml:space="preserve"> the economic reduction, on the one hand, and the tax concessions, on the other hand. In particular, concessions made in order to maintain t</w:t>
      </w:r>
      <w:r w:rsidR="004077A9" w:rsidRPr="00877C7B">
        <w:rPr>
          <w:rFonts w:cstheme="minorHAnsi"/>
        </w:rPr>
        <w:t xml:space="preserve">he labor force, caused the reduction of </w:t>
      </w:r>
      <w:r w:rsidRPr="00877C7B">
        <w:rPr>
          <w:rFonts w:cstheme="minorHAnsi"/>
        </w:rPr>
        <w:t xml:space="preserve">income tax which could be mobilized, by GEL 295 million, while </w:t>
      </w:r>
      <w:r w:rsidR="00EA2120" w:rsidRPr="00877C7B">
        <w:rPr>
          <w:rFonts w:cstheme="minorHAnsi"/>
        </w:rPr>
        <w:t xml:space="preserve">tourist facilities which </w:t>
      </w:r>
      <w:r w:rsidR="003C126E" w:rsidRPr="00877C7B">
        <w:rPr>
          <w:rFonts w:cstheme="minorHAnsi"/>
        </w:rPr>
        <w:t>were</w:t>
      </w:r>
      <w:r w:rsidR="00EA2120" w:rsidRPr="00877C7B">
        <w:rPr>
          <w:rFonts w:cstheme="minorHAnsi"/>
        </w:rPr>
        <w:t xml:space="preserve"> exempted of property tax, caused the reduc</w:t>
      </w:r>
      <w:r w:rsidR="004077A9" w:rsidRPr="00877C7B">
        <w:rPr>
          <w:rFonts w:cstheme="minorHAnsi"/>
        </w:rPr>
        <w:t>tion of</w:t>
      </w:r>
      <w:r w:rsidR="00EA2120" w:rsidRPr="00877C7B">
        <w:rPr>
          <w:rFonts w:cstheme="minorHAnsi"/>
        </w:rPr>
        <w:t xml:space="preserve"> tax which could be mobilized, by GEL 45.0 million. Moreover, </w:t>
      </w:r>
      <w:r w:rsidR="00197258" w:rsidRPr="00877C7B">
        <w:rPr>
          <w:rFonts w:cstheme="minorHAnsi"/>
        </w:rPr>
        <w:t xml:space="preserve">the 2020 budget was planned considering the projection of macroeconomic and fiscal parameters at the end of 2019. According to </w:t>
      </w:r>
      <w:r w:rsidR="004077A9" w:rsidRPr="00877C7B">
        <w:rPr>
          <w:rFonts w:cstheme="minorHAnsi"/>
        </w:rPr>
        <w:t>these</w:t>
      </w:r>
      <w:r w:rsidR="00197258" w:rsidRPr="00877C7B">
        <w:rPr>
          <w:rFonts w:cstheme="minorHAnsi"/>
        </w:rPr>
        <w:t xml:space="preserve"> forecasts, consolidation policy would be continued in the </w:t>
      </w:r>
      <w:r w:rsidR="003C126E" w:rsidRPr="00877C7B">
        <w:rPr>
          <w:rFonts w:cstheme="minorHAnsi"/>
        </w:rPr>
        <w:t>current spending, during the med</w:t>
      </w:r>
      <w:r w:rsidR="00197258" w:rsidRPr="00877C7B">
        <w:rPr>
          <w:rFonts w:cstheme="minorHAnsi"/>
        </w:rPr>
        <w:t>ium-term. However, forecasts of mentioned parameters have</w:t>
      </w:r>
      <w:r w:rsidR="003C126E" w:rsidRPr="00877C7B">
        <w:rPr>
          <w:rFonts w:cstheme="minorHAnsi"/>
        </w:rPr>
        <w:t xml:space="preserve"> been changed due to the new cor</w:t>
      </w:r>
      <w:r w:rsidR="00197258" w:rsidRPr="00877C7B">
        <w:rPr>
          <w:rFonts w:cstheme="minorHAnsi"/>
        </w:rPr>
        <w:t xml:space="preserve">onavirus (COVID-19) </w:t>
      </w:r>
      <w:r w:rsidR="00742457" w:rsidRPr="00877C7B">
        <w:rPr>
          <w:rFonts w:cstheme="minorHAnsi"/>
        </w:rPr>
        <w:t>and spending as a percent of GD</w:t>
      </w:r>
      <w:r w:rsidR="004077A9" w:rsidRPr="00877C7B">
        <w:rPr>
          <w:rFonts w:cstheme="minorHAnsi"/>
        </w:rPr>
        <w:t>P</w:t>
      </w:r>
      <w:r w:rsidR="00742457" w:rsidRPr="00877C7B">
        <w:rPr>
          <w:rFonts w:cstheme="minorHAnsi"/>
        </w:rPr>
        <w:t xml:space="preserve"> will inc</w:t>
      </w:r>
      <w:r w:rsidR="004077A9" w:rsidRPr="00877C7B">
        <w:rPr>
          <w:rFonts w:cstheme="minorHAnsi"/>
        </w:rPr>
        <w:t>rease in 2020 and decrease gradually</w:t>
      </w:r>
      <w:r w:rsidR="00742457" w:rsidRPr="00877C7B">
        <w:rPr>
          <w:rFonts w:cstheme="minorHAnsi"/>
        </w:rPr>
        <w:t xml:space="preserve"> from 2021. </w:t>
      </w:r>
    </w:p>
    <w:p w:rsidR="00D968E5" w:rsidRPr="00877C7B" w:rsidRDefault="00742457" w:rsidP="00877C7B">
      <w:pPr>
        <w:pStyle w:val="NoSpacing"/>
        <w:spacing w:after="240" w:line="276" w:lineRule="auto"/>
        <w:ind w:firstLine="720"/>
        <w:jc w:val="both"/>
        <w:rPr>
          <w:rFonts w:cstheme="minorHAnsi"/>
          <w:lang w:val="ka-GE"/>
        </w:rPr>
      </w:pPr>
      <w:r w:rsidRPr="00877C7B">
        <w:rPr>
          <w:rFonts w:cstheme="minorHAnsi"/>
        </w:rPr>
        <w:t>The current medium-term fiscal forecasts are prepared under the consultation</w:t>
      </w:r>
      <w:r w:rsidR="005A14D9" w:rsidRPr="00877C7B">
        <w:rPr>
          <w:rFonts w:cstheme="minorHAnsi"/>
        </w:rPr>
        <w:t>s</w:t>
      </w:r>
      <w:r w:rsidR="00C23F21" w:rsidRPr="00877C7B">
        <w:rPr>
          <w:rFonts w:cstheme="minorHAnsi"/>
        </w:rPr>
        <w:t xml:space="preserve"> with the IMF</w:t>
      </w:r>
      <w:r w:rsidRPr="00877C7B">
        <w:rPr>
          <w:rFonts w:cstheme="minorHAnsi"/>
        </w:rPr>
        <w:t xml:space="preserve"> and the spending relat</w:t>
      </w:r>
      <w:r w:rsidR="003C126E" w:rsidRPr="00877C7B">
        <w:rPr>
          <w:rFonts w:cstheme="minorHAnsi"/>
        </w:rPr>
        <w:t>ed</w:t>
      </w:r>
      <w:r w:rsidRPr="00877C7B">
        <w:rPr>
          <w:rFonts w:cstheme="minorHAnsi"/>
        </w:rPr>
        <w:t xml:space="preserve"> to the coronavirus pandemic</w:t>
      </w:r>
      <w:r w:rsidR="00C23F21" w:rsidRPr="00877C7B">
        <w:rPr>
          <w:rFonts w:cstheme="minorHAnsi"/>
        </w:rPr>
        <w:t xml:space="preserve"> is also considered</w:t>
      </w:r>
      <w:r w:rsidRPr="00877C7B">
        <w:rPr>
          <w:rFonts w:cstheme="minorHAnsi"/>
        </w:rPr>
        <w:t xml:space="preserve">. </w:t>
      </w:r>
      <w:r w:rsidR="00D968E5" w:rsidRPr="00877C7B">
        <w:rPr>
          <w:rFonts w:cstheme="minorHAnsi"/>
          <w:lang w:val="ka-GE"/>
        </w:rPr>
        <w:fldChar w:fldCharType="begin"/>
      </w:r>
      <w:r w:rsidR="00D968E5" w:rsidRPr="00877C7B">
        <w:rPr>
          <w:rFonts w:cstheme="minorHAnsi"/>
          <w:lang w:val="ka-GE"/>
        </w:rPr>
        <w:instrText xml:space="preserve"> LINK Excel.Sheet.12 "D:\\Desktop\\6. ბიუჯეტი\\კანონპროექტები\\2020 წლის ბიუჯეტი\\III წარდგენა\\Forecast Reconciliation 2020 sen21 to 2019 sen13.xlsx" "Reconciliation (2)!R45C1:R50C6" \a \f 4 \h  \* MERGEFORMAT </w:instrText>
      </w:r>
      <w:r w:rsidR="00D968E5" w:rsidRPr="00877C7B">
        <w:rPr>
          <w:rFonts w:cstheme="minorHAnsi"/>
          <w:lang w:val="ka-GE"/>
        </w:rPr>
        <w:fldChar w:fldCharType="separate"/>
      </w:r>
    </w:p>
    <w:p w:rsidR="00A21683" w:rsidRPr="00877C7B" w:rsidRDefault="00D968E5" w:rsidP="00877C7B">
      <w:pPr>
        <w:pStyle w:val="NoSpacing"/>
        <w:spacing w:line="276" w:lineRule="auto"/>
        <w:ind w:left="1080"/>
        <w:jc w:val="both"/>
        <w:rPr>
          <w:rFonts w:cstheme="minorHAnsi"/>
          <w:lang w:val="ka-GE"/>
        </w:rPr>
      </w:pPr>
      <w:r w:rsidRPr="00877C7B">
        <w:rPr>
          <w:rFonts w:cstheme="minorHAnsi"/>
          <w:lang w:val="ka-GE"/>
        </w:rPr>
        <w:fldChar w:fldCharType="end"/>
      </w:r>
    </w:p>
    <w:tbl>
      <w:tblPr>
        <w:tblStyle w:val="TableGrid"/>
        <w:tblW w:w="9895" w:type="dxa"/>
        <w:tblLook w:val="04A0" w:firstRow="1" w:lastRow="0" w:firstColumn="1" w:lastColumn="0" w:noHBand="0" w:noVBand="1"/>
      </w:tblPr>
      <w:tblGrid>
        <w:gridCol w:w="3505"/>
        <w:gridCol w:w="1080"/>
        <w:gridCol w:w="1170"/>
        <w:gridCol w:w="1080"/>
        <w:gridCol w:w="990"/>
        <w:gridCol w:w="1080"/>
        <w:gridCol w:w="990"/>
      </w:tblGrid>
      <w:tr w:rsidR="00B40D6D" w:rsidRPr="00877C7B" w:rsidTr="00552D21">
        <w:trPr>
          <w:trHeight w:val="113"/>
          <w:tblHeader/>
        </w:trPr>
        <w:tc>
          <w:tcPr>
            <w:tcW w:w="3505" w:type="dxa"/>
            <w:tcBorders>
              <w:bottom w:val="single" w:sz="4" w:space="0" w:color="auto"/>
            </w:tcBorders>
            <w:noWrap/>
            <w:vAlign w:val="center"/>
            <w:hideMark/>
          </w:tcPr>
          <w:p w:rsidR="00B40D6D" w:rsidRPr="00877C7B" w:rsidRDefault="005E5F9D" w:rsidP="005B515A">
            <w:pPr>
              <w:pStyle w:val="NoSpacing"/>
              <w:rPr>
                <w:rFonts w:eastAsia="Times New Roman" w:cstheme="minorHAnsi"/>
                <w:color w:val="000000"/>
                <w:sz w:val="20"/>
                <w:szCs w:val="18"/>
              </w:rPr>
            </w:pPr>
            <w:r w:rsidRPr="00877C7B">
              <w:rPr>
                <w:rFonts w:eastAsia="Times New Roman" w:cstheme="minorHAnsi"/>
                <w:b/>
                <w:bCs/>
                <w:color w:val="000000"/>
                <w:sz w:val="20"/>
                <w:szCs w:val="20"/>
              </w:rPr>
              <w:t>Table 5. Balance of Payment</w:t>
            </w:r>
          </w:p>
        </w:tc>
        <w:tc>
          <w:tcPr>
            <w:tcW w:w="108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lang w:val="ka-GE"/>
              </w:rPr>
            </w:pPr>
          </w:p>
        </w:tc>
        <w:tc>
          <w:tcPr>
            <w:tcW w:w="117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lang w:val="ka-GE"/>
              </w:rPr>
            </w:pPr>
          </w:p>
        </w:tc>
        <w:tc>
          <w:tcPr>
            <w:tcW w:w="108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rPr>
            </w:pPr>
          </w:p>
        </w:tc>
        <w:tc>
          <w:tcPr>
            <w:tcW w:w="99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rPr>
            </w:pPr>
          </w:p>
        </w:tc>
        <w:tc>
          <w:tcPr>
            <w:tcW w:w="108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rPr>
            </w:pPr>
          </w:p>
        </w:tc>
        <w:tc>
          <w:tcPr>
            <w:tcW w:w="990" w:type="dxa"/>
            <w:tcBorders>
              <w:bottom w:val="single" w:sz="4" w:space="0" w:color="auto"/>
            </w:tcBorders>
            <w:noWrap/>
            <w:vAlign w:val="center"/>
          </w:tcPr>
          <w:p w:rsidR="00B40D6D" w:rsidRPr="00877C7B" w:rsidRDefault="00B40D6D" w:rsidP="005B515A">
            <w:pPr>
              <w:pStyle w:val="NoSpacing"/>
              <w:jc w:val="center"/>
              <w:rPr>
                <w:rFonts w:eastAsia="Times New Roman" w:cstheme="minorHAnsi"/>
                <w:b/>
                <w:bCs/>
                <w:color w:val="000000"/>
                <w:sz w:val="18"/>
                <w:szCs w:val="18"/>
              </w:rPr>
            </w:pPr>
          </w:p>
        </w:tc>
      </w:tr>
      <w:tr w:rsidR="005E5F9D" w:rsidRPr="00877C7B" w:rsidTr="00552D21">
        <w:trPr>
          <w:trHeight w:val="113"/>
        </w:trPr>
        <w:tc>
          <w:tcPr>
            <w:tcW w:w="3505" w:type="dxa"/>
            <w:tcBorders>
              <w:bottom w:val="single" w:sz="4" w:space="0" w:color="auto"/>
            </w:tcBorders>
            <w:noWrap/>
            <w:vAlign w:val="bottom"/>
          </w:tcPr>
          <w:p w:rsidR="005E5F9D" w:rsidRPr="00877C7B" w:rsidRDefault="005E5F9D" w:rsidP="005E5F9D">
            <w:pPr>
              <w:rPr>
                <w:rFonts w:eastAsia="Times New Roman" w:cstheme="minorHAnsi"/>
                <w:b/>
                <w:bCs/>
                <w:color w:val="000000"/>
                <w:sz w:val="20"/>
              </w:rPr>
            </w:pPr>
            <w:r w:rsidRPr="00877C7B">
              <w:rPr>
                <w:rFonts w:eastAsia="Times New Roman" w:cstheme="minorHAnsi"/>
                <w:color w:val="000000"/>
                <w:sz w:val="20"/>
                <w:szCs w:val="20"/>
              </w:rPr>
              <w:t>Current Account</w:t>
            </w:r>
          </w:p>
        </w:tc>
        <w:tc>
          <w:tcPr>
            <w:tcW w:w="1080" w:type="dxa"/>
            <w:tcBorders>
              <w:bottom w:val="single" w:sz="4" w:space="0" w:color="auto"/>
            </w:tcBorders>
            <w:noWrap/>
            <w:vAlign w:val="center"/>
          </w:tcPr>
          <w:p w:rsidR="005E5F9D" w:rsidRPr="00877C7B" w:rsidRDefault="005E5F9D" w:rsidP="005E5F9D">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117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108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99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108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99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5E5F9D" w:rsidRPr="00877C7B" w:rsidTr="00552D21">
        <w:trPr>
          <w:trHeight w:val="113"/>
        </w:trPr>
        <w:tc>
          <w:tcPr>
            <w:tcW w:w="3505" w:type="dxa"/>
            <w:tcBorders>
              <w:bottom w:val="single" w:sz="4" w:space="0" w:color="auto"/>
            </w:tcBorders>
            <w:noWrap/>
            <w:vAlign w:val="bottom"/>
          </w:tcPr>
          <w:p w:rsidR="005E5F9D" w:rsidRPr="00877C7B" w:rsidRDefault="005E5F9D" w:rsidP="005E5F9D">
            <w:pPr>
              <w:rPr>
                <w:rFonts w:eastAsia="Times New Roman" w:cstheme="minorHAnsi"/>
                <w:b/>
                <w:bCs/>
                <w:color w:val="000000"/>
                <w:sz w:val="20"/>
                <w:szCs w:val="20"/>
              </w:rPr>
            </w:pPr>
            <w:r w:rsidRPr="00877C7B">
              <w:rPr>
                <w:rFonts w:eastAsia="Times New Roman" w:cstheme="minorHAnsi"/>
                <w:b/>
                <w:bCs/>
                <w:color w:val="000000"/>
                <w:sz w:val="20"/>
                <w:szCs w:val="20"/>
              </w:rPr>
              <w:t>(Million US Dollar)</w:t>
            </w:r>
          </w:p>
        </w:tc>
        <w:tc>
          <w:tcPr>
            <w:tcW w:w="108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Actual</w:t>
            </w:r>
          </w:p>
        </w:tc>
        <w:tc>
          <w:tcPr>
            <w:tcW w:w="117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Expected</w:t>
            </w:r>
          </w:p>
        </w:tc>
        <w:tc>
          <w:tcPr>
            <w:tcW w:w="108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108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tcBorders>
              <w:bottom w:val="single" w:sz="4" w:space="0" w:color="auto"/>
            </w:tcBorders>
            <w:noWrap/>
            <w:vAlign w:val="center"/>
          </w:tcPr>
          <w:p w:rsidR="005E5F9D" w:rsidRPr="00877C7B" w:rsidRDefault="005E5F9D" w:rsidP="005E5F9D">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r>
      <w:tr w:rsidR="005E5F9D" w:rsidRPr="00877C7B" w:rsidTr="00552D21">
        <w:trPr>
          <w:trHeight w:val="113"/>
        </w:trPr>
        <w:tc>
          <w:tcPr>
            <w:tcW w:w="3505" w:type="dxa"/>
            <w:tcBorders>
              <w:bottom w:val="single" w:sz="4" w:space="0" w:color="auto"/>
            </w:tcBorders>
            <w:noWrap/>
            <w:vAlign w:val="center"/>
            <w:hideMark/>
          </w:tcPr>
          <w:p w:rsidR="005E5F9D" w:rsidRPr="00877C7B" w:rsidRDefault="005E5F9D" w:rsidP="005E5F9D">
            <w:pPr>
              <w:pStyle w:val="NoSpacing"/>
              <w:rPr>
                <w:rFonts w:eastAsia="Times New Roman" w:cstheme="minorHAnsi"/>
                <w:b/>
                <w:bCs/>
                <w:color w:val="000000"/>
                <w:sz w:val="20"/>
                <w:szCs w:val="18"/>
              </w:rPr>
            </w:pPr>
            <w:r w:rsidRPr="00877C7B">
              <w:rPr>
                <w:rFonts w:eastAsia="Times New Roman" w:cstheme="minorHAnsi"/>
                <w:b/>
                <w:bCs/>
                <w:color w:val="000000"/>
                <w:sz w:val="20"/>
                <w:szCs w:val="20"/>
              </w:rPr>
              <w:t xml:space="preserve">Forecast of Current Account December 2019 </w:t>
            </w:r>
          </w:p>
        </w:tc>
        <w:tc>
          <w:tcPr>
            <w:tcW w:w="1080" w:type="dxa"/>
            <w:tcBorders>
              <w:bottom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-720.0</w:t>
            </w:r>
          </w:p>
        </w:tc>
        <w:tc>
          <w:tcPr>
            <w:tcW w:w="1170" w:type="dxa"/>
            <w:tcBorders>
              <w:bottom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-627.2</w:t>
            </w:r>
          </w:p>
        </w:tc>
        <w:tc>
          <w:tcPr>
            <w:tcW w:w="1080" w:type="dxa"/>
            <w:tcBorders>
              <w:bottom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-627.8</w:t>
            </w:r>
          </w:p>
        </w:tc>
        <w:tc>
          <w:tcPr>
            <w:tcW w:w="990" w:type="dxa"/>
            <w:tcBorders>
              <w:bottom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-659.3</w:t>
            </w:r>
          </w:p>
        </w:tc>
        <w:tc>
          <w:tcPr>
            <w:tcW w:w="1080" w:type="dxa"/>
            <w:tcBorders>
              <w:bottom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-713.5</w:t>
            </w:r>
          </w:p>
        </w:tc>
        <w:tc>
          <w:tcPr>
            <w:tcW w:w="990" w:type="dxa"/>
            <w:tcBorders>
              <w:bottom w:val="single" w:sz="4" w:space="0" w:color="auto"/>
              <w:right w:val="single" w:sz="4" w:space="0" w:color="auto"/>
            </w:tcBorders>
            <w:noWrap/>
            <w:vAlign w:val="center"/>
            <w:hideMark/>
          </w:tcPr>
          <w:p w:rsidR="005E5F9D" w:rsidRPr="00877C7B" w:rsidRDefault="005E5F9D" w:rsidP="005E5F9D">
            <w:pPr>
              <w:pStyle w:val="NoSpacing"/>
              <w:jc w:val="center"/>
              <w:rPr>
                <w:rFonts w:eastAsia="Times New Roman" w:cstheme="minorHAnsi"/>
                <w:b/>
                <w:bCs/>
                <w:color w:val="000000"/>
                <w:sz w:val="18"/>
                <w:szCs w:val="18"/>
                <w:lang w:val="ka-GE"/>
              </w:rPr>
            </w:pPr>
            <w:r w:rsidRPr="00877C7B">
              <w:rPr>
                <w:rFonts w:eastAsia="Times New Roman" w:cstheme="minorHAnsi"/>
                <w:b/>
                <w:bCs/>
                <w:color w:val="000000"/>
                <w:sz w:val="18"/>
                <w:szCs w:val="18"/>
                <w:lang w:val="ka-GE"/>
              </w:rPr>
              <w:t>-</w:t>
            </w:r>
          </w:p>
        </w:tc>
      </w:tr>
      <w:tr w:rsidR="005E5F9D" w:rsidRPr="00877C7B" w:rsidTr="00552D21">
        <w:trPr>
          <w:trHeight w:val="113"/>
        </w:trPr>
        <w:tc>
          <w:tcPr>
            <w:tcW w:w="3505" w:type="dxa"/>
            <w:tcBorders>
              <w:top w:val="single" w:sz="4" w:space="0" w:color="auto"/>
              <w:bottom w:val="nil"/>
            </w:tcBorders>
            <w:noWrap/>
            <w:vAlign w:val="bottom"/>
          </w:tcPr>
          <w:p w:rsidR="005E5F9D" w:rsidRPr="00877C7B" w:rsidRDefault="005E5F9D" w:rsidP="004077A9">
            <w:pPr>
              <w:rPr>
                <w:rFonts w:eastAsia="Times New Roman" w:cstheme="minorHAnsi"/>
                <w:b/>
                <w:bCs/>
                <w:color w:val="000000"/>
                <w:sz w:val="20"/>
              </w:rPr>
            </w:pPr>
            <w:r w:rsidRPr="00877C7B">
              <w:rPr>
                <w:rFonts w:eastAsia="Times New Roman" w:cstheme="minorHAnsi"/>
                <w:b/>
                <w:color w:val="000000"/>
                <w:sz w:val="20"/>
                <w:szCs w:val="20"/>
              </w:rPr>
              <w:t>Total Changes</w:t>
            </w:r>
          </w:p>
        </w:tc>
        <w:tc>
          <w:tcPr>
            <w:tcW w:w="108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-240.5</w:t>
            </w:r>
          </w:p>
        </w:tc>
        <w:tc>
          <w:tcPr>
            <w:tcW w:w="117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-914.8</w:t>
            </w:r>
          </w:p>
        </w:tc>
        <w:tc>
          <w:tcPr>
            <w:tcW w:w="108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-752.1</w:t>
            </w:r>
          </w:p>
        </w:tc>
        <w:tc>
          <w:tcPr>
            <w:tcW w:w="99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-452.7</w:t>
            </w:r>
          </w:p>
        </w:tc>
        <w:tc>
          <w:tcPr>
            <w:tcW w:w="108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-460.9</w:t>
            </w:r>
          </w:p>
        </w:tc>
        <w:tc>
          <w:tcPr>
            <w:tcW w:w="990" w:type="dxa"/>
            <w:tcBorders>
              <w:top w:val="single" w:sz="4" w:space="0" w:color="auto"/>
              <w:bottom w:val="nil"/>
            </w:tcBorders>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-1,190.5</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szCs w:val="20"/>
              </w:rPr>
            </w:pPr>
            <w:r w:rsidRPr="00877C7B">
              <w:rPr>
                <w:rFonts w:eastAsia="Times New Roman" w:cstheme="minorHAnsi"/>
                <w:color w:val="000000"/>
                <w:sz w:val="20"/>
                <w:szCs w:val="20"/>
              </w:rPr>
              <w:t>Goods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-86.5</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1,632.1</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1,865.4</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1,802.7</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1,746.9</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-3,808.1</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rPr>
            </w:pPr>
            <w:r w:rsidRPr="00877C7B">
              <w:rPr>
                <w:rFonts w:eastAsia="Times New Roman" w:cstheme="minorHAnsi"/>
                <w:color w:val="000000"/>
                <w:sz w:val="20"/>
                <w:szCs w:val="20"/>
              </w:rPr>
              <w:t>Export of Goods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-46.9</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-1,422.8</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-1,805.7</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-2,209.5</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-2,526.1</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5,636.8</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rPr>
            </w:pPr>
            <w:r w:rsidRPr="00877C7B">
              <w:rPr>
                <w:rFonts w:eastAsia="Times New Roman" w:cstheme="minorHAnsi"/>
                <w:color w:val="000000"/>
                <w:sz w:val="20"/>
                <w:szCs w:val="20"/>
              </w:rPr>
              <w:t>Import of Goods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39.5</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-3,055.0</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-3,671.0</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-4,012.2</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-4,272.9</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9,444.9</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szCs w:val="20"/>
              </w:rPr>
            </w:pPr>
            <w:r w:rsidRPr="00877C7B">
              <w:rPr>
                <w:rFonts w:eastAsia="Times New Roman" w:cstheme="minorHAnsi"/>
                <w:color w:val="000000"/>
                <w:sz w:val="20"/>
                <w:szCs w:val="20"/>
              </w:rPr>
              <w:t>Services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-139.3</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-2,420.4</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-2,285.8</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-1,959.4</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-1,907.4</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1,603.9</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rPr>
            </w:pPr>
            <w:r w:rsidRPr="00877C7B">
              <w:rPr>
                <w:rFonts w:eastAsia="Times New Roman" w:cstheme="minorHAnsi"/>
                <w:color w:val="000000"/>
                <w:sz w:val="20"/>
                <w:szCs w:val="20"/>
              </w:rPr>
              <w:t>Export of Services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-155.8</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-3,574.2</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-3,763.8</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-3,412.8</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-3,165.0</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4,579.8</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szCs w:val="20"/>
              </w:rPr>
            </w:pPr>
            <w:r w:rsidRPr="00877C7B">
              <w:rPr>
                <w:rFonts w:eastAsia="Times New Roman" w:cstheme="minorHAnsi"/>
                <w:color w:val="000000"/>
                <w:sz w:val="20"/>
                <w:szCs w:val="20"/>
              </w:rPr>
              <w:t>Import of Services</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-16.5</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-1,153.9</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-1,478.0</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-1,453.4</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-1,257.6</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2,975.9</w:t>
            </w:r>
          </w:p>
        </w:tc>
      </w:tr>
      <w:tr w:rsidR="005E5F9D" w:rsidRPr="00877C7B" w:rsidTr="00552D21">
        <w:trPr>
          <w:trHeight w:val="113"/>
        </w:trPr>
        <w:tc>
          <w:tcPr>
            <w:tcW w:w="3505" w:type="dxa"/>
            <w:tcBorders>
              <w:top w:val="nil"/>
              <w:bottom w:val="nil"/>
            </w:tcBorders>
            <w:noWrap/>
            <w:vAlign w:val="bottom"/>
          </w:tcPr>
          <w:p w:rsidR="005E5F9D" w:rsidRPr="00877C7B" w:rsidRDefault="005E5F9D" w:rsidP="004077A9">
            <w:pPr>
              <w:rPr>
                <w:rFonts w:eastAsia="Times New Roman" w:cstheme="minorHAnsi"/>
                <w:color w:val="000000"/>
                <w:sz w:val="20"/>
                <w:szCs w:val="20"/>
              </w:rPr>
            </w:pPr>
            <w:r w:rsidRPr="00877C7B">
              <w:rPr>
                <w:rFonts w:eastAsia="Times New Roman" w:cstheme="minorHAnsi"/>
                <w:color w:val="000000"/>
                <w:sz w:val="20"/>
                <w:szCs w:val="20"/>
              </w:rPr>
              <w:t>Primary Income</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-84.6</w:t>
            </w:r>
          </w:p>
        </w:tc>
        <w:tc>
          <w:tcPr>
            <w:tcW w:w="117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-98.0</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-192.3</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-171.1</w:t>
            </w:r>
          </w:p>
        </w:tc>
        <w:tc>
          <w:tcPr>
            <w:tcW w:w="108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-167.0</w:t>
            </w:r>
          </w:p>
        </w:tc>
        <w:tc>
          <w:tcPr>
            <w:tcW w:w="990" w:type="dxa"/>
            <w:tcBorders>
              <w:top w:val="nil"/>
              <w:bottom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-464.4</w:t>
            </w:r>
          </w:p>
        </w:tc>
      </w:tr>
      <w:tr w:rsidR="005E5F9D" w:rsidRPr="00877C7B" w:rsidTr="00552D21">
        <w:trPr>
          <w:trHeight w:val="113"/>
        </w:trPr>
        <w:tc>
          <w:tcPr>
            <w:tcW w:w="3505" w:type="dxa"/>
            <w:tcBorders>
              <w:top w:val="nil"/>
            </w:tcBorders>
            <w:noWrap/>
            <w:vAlign w:val="center"/>
            <w:hideMark/>
          </w:tcPr>
          <w:p w:rsidR="005E5F9D" w:rsidRPr="00877C7B" w:rsidRDefault="005E5F9D" w:rsidP="005E5F9D">
            <w:pPr>
              <w:pStyle w:val="NoSpacing"/>
              <w:rPr>
                <w:rFonts w:eastAsia="Times New Roman" w:cstheme="minorHAnsi"/>
                <w:color w:val="000000"/>
                <w:sz w:val="20"/>
                <w:szCs w:val="18"/>
              </w:rPr>
            </w:pPr>
            <w:r w:rsidRPr="00877C7B">
              <w:rPr>
                <w:rFonts w:eastAsia="Times New Roman" w:cstheme="minorHAnsi"/>
                <w:bCs/>
                <w:color w:val="000000"/>
                <w:sz w:val="20"/>
                <w:szCs w:val="20"/>
              </w:rPr>
              <w:t>Secondary Income (Transfers)</w:t>
            </w:r>
          </w:p>
        </w:tc>
        <w:tc>
          <w:tcPr>
            <w:tcW w:w="108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69.9</w:t>
            </w:r>
          </w:p>
        </w:tc>
        <w:tc>
          <w:tcPr>
            <w:tcW w:w="117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-28.6</w:t>
            </w:r>
          </w:p>
        </w:tc>
        <w:tc>
          <w:tcPr>
            <w:tcW w:w="108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-139.4</w:t>
            </w:r>
          </w:p>
        </w:tc>
        <w:tc>
          <w:tcPr>
            <w:tcW w:w="99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-124.9</w:t>
            </w:r>
          </w:p>
        </w:tc>
        <w:tc>
          <w:tcPr>
            <w:tcW w:w="108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-133.4</w:t>
            </w:r>
          </w:p>
        </w:tc>
        <w:tc>
          <w:tcPr>
            <w:tcW w:w="990" w:type="dxa"/>
            <w:tcBorders>
              <w:top w:val="nil"/>
            </w:tcBorders>
            <w:noWrap/>
            <w:vAlign w:val="center"/>
            <w:hideMark/>
          </w:tcPr>
          <w:p w:rsidR="005E5F9D" w:rsidRPr="00877C7B" w:rsidRDefault="005E5F9D" w:rsidP="005E5F9D">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1,478.0</w:t>
            </w:r>
          </w:p>
        </w:tc>
      </w:tr>
      <w:tr w:rsidR="005E5F9D" w:rsidRPr="00877C7B" w:rsidTr="00552D21">
        <w:trPr>
          <w:trHeight w:val="113"/>
        </w:trPr>
        <w:tc>
          <w:tcPr>
            <w:tcW w:w="3505" w:type="dxa"/>
            <w:noWrap/>
            <w:vAlign w:val="center"/>
            <w:hideMark/>
          </w:tcPr>
          <w:p w:rsidR="005E5F9D" w:rsidRPr="00877C7B" w:rsidRDefault="005E5F9D" w:rsidP="005E5F9D">
            <w:pPr>
              <w:pStyle w:val="NoSpacing"/>
              <w:rPr>
                <w:rFonts w:eastAsia="Times New Roman" w:cstheme="minorHAnsi"/>
                <w:b/>
                <w:bCs/>
                <w:color w:val="000000"/>
                <w:sz w:val="20"/>
                <w:szCs w:val="18"/>
              </w:rPr>
            </w:pPr>
            <w:r w:rsidRPr="00877C7B">
              <w:rPr>
                <w:rFonts w:eastAsia="Times New Roman" w:cstheme="minorHAnsi"/>
                <w:b/>
                <w:bCs/>
                <w:color w:val="000000"/>
                <w:sz w:val="20"/>
                <w:szCs w:val="20"/>
              </w:rPr>
              <w:t xml:space="preserve">Forecast of Current Account November 2020 </w:t>
            </w:r>
          </w:p>
        </w:tc>
        <w:tc>
          <w:tcPr>
            <w:tcW w:w="108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-960.4</w:t>
            </w:r>
          </w:p>
        </w:tc>
        <w:tc>
          <w:tcPr>
            <w:tcW w:w="117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-1,542.0</w:t>
            </w:r>
          </w:p>
        </w:tc>
        <w:tc>
          <w:tcPr>
            <w:tcW w:w="108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-1,379.9</w:t>
            </w:r>
          </w:p>
        </w:tc>
        <w:tc>
          <w:tcPr>
            <w:tcW w:w="99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-1,112.0</w:t>
            </w:r>
          </w:p>
        </w:tc>
        <w:tc>
          <w:tcPr>
            <w:tcW w:w="108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-1,174.3</w:t>
            </w:r>
          </w:p>
        </w:tc>
        <w:tc>
          <w:tcPr>
            <w:tcW w:w="990" w:type="dxa"/>
            <w:noWrap/>
            <w:vAlign w:val="center"/>
            <w:hideMark/>
          </w:tcPr>
          <w:p w:rsidR="005E5F9D" w:rsidRPr="00877C7B" w:rsidRDefault="005E5F9D" w:rsidP="005E5F9D">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-1,190.5</w:t>
            </w:r>
          </w:p>
        </w:tc>
      </w:tr>
    </w:tbl>
    <w:p w:rsidR="00B40D6D" w:rsidRPr="00877C7B" w:rsidRDefault="00B40D6D" w:rsidP="00B40D6D">
      <w:pPr>
        <w:pStyle w:val="NoSpacing"/>
        <w:jc w:val="both"/>
        <w:rPr>
          <w:rFonts w:cstheme="minorHAnsi"/>
          <w:lang w:val="ka-GE"/>
        </w:rPr>
      </w:pPr>
    </w:p>
    <w:p w:rsidR="00877C7B" w:rsidRPr="00877C7B" w:rsidRDefault="005B515A" w:rsidP="00877C7B">
      <w:pPr>
        <w:pStyle w:val="NoSpacing"/>
        <w:spacing w:line="276" w:lineRule="auto"/>
        <w:ind w:firstLine="720"/>
        <w:jc w:val="both"/>
        <w:rPr>
          <w:rFonts w:cstheme="minorHAnsi"/>
        </w:rPr>
      </w:pPr>
      <w:r w:rsidRPr="00877C7B">
        <w:rPr>
          <w:rFonts w:cstheme="minorHAnsi"/>
        </w:rPr>
        <w:t xml:space="preserve">As for the current account balance, it has improved significantly </w:t>
      </w:r>
      <w:r w:rsidR="004077A9" w:rsidRPr="00877C7B">
        <w:rPr>
          <w:rFonts w:cstheme="minorHAnsi"/>
        </w:rPr>
        <w:t>recently</w:t>
      </w:r>
      <w:r w:rsidRPr="00877C7B">
        <w:rPr>
          <w:rFonts w:cstheme="minorHAnsi"/>
        </w:rPr>
        <w:t xml:space="preserve"> and according </w:t>
      </w:r>
      <w:r w:rsidR="003C126E" w:rsidRPr="00877C7B">
        <w:rPr>
          <w:rFonts w:cstheme="minorHAnsi"/>
        </w:rPr>
        <w:t xml:space="preserve">to </w:t>
      </w:r>
      <w:r w:rsidRPr="00877C7B">
        <w:rPr>
          <w:rFonts w:cstheme="minorHAnsi"/>
        </w:rPr>
        <w:t xml:space="preserve">the revealed trends, it was expected to </w:t>
      </w:r>
      <w:r w:rsidR="00D01180" w:rsidRPr="00877C7B">
        <w:rPr>
          <w:rFonts w:cstheme="minorHAnsi"/>
        </w:rPr>
        <w:t xml:space="preserve">improve the current account even more for 2020. </w:t>
      </w:r>
      <w:r w:rsidR="004077A9" w:rsidRPr="00877C7B">
        <w:rPr>
          <w:rFonts w:cstheme="minorHAnsi"/>
        </w:rPr>
        <w:t>Nevertheless</w:t>
      </w:r>
      <w:r w:rsidR="00D01180" w:rsidRPr="00877C7B">
        <w:rPr>
          <w:rFonts w:cstheme="minorHAnsi"/>
        </w:rPr>
        <w:t xml:space="preserve">, </w:t>
      </w:r>
      <w:r w:rsidR="003C126E" w:rsidRPr="00877C7B">
        <w:rPr>
          <w:rFonts w:cstheme="minorHAnsi"/>
        </w:rPr>
        <w:t xml:space="preserve">the </w:t>
      </w:r>
      <w:r w:rsidR="00D01180" w:rsidRPr="00877C7B">
        <w:rPr>
          <w:rFonts w:cstheme="minorHAnsi"/>
        </w:rPr>
        <w:t>export of goods and service</w:t>
      </w:r>
      <w:r w:rsidR="003C126E" w:rsidRPr="00877C7B">
        <w:rPr>
          <w:rFonts w:cstheme="minorHAnsi"/>
        </w:rPr>
        <w:t>,</w:t>
      </w:r>
      <w:r w:rsidR="00D01180" w:rsidRPr="00877C7B">
        <w:rPr>
          <w:rFonts w:cstheme="minorHAnsi"/>
        </w:rPr>
        <w:t xml:space="preserve"> as well as remittances</w:t>
      </w:r>
      <w:r w:rsidR="003C126E" w:rsidRPr="00877C7B">
        <w:rPr>
          <w:rFonts w:cstheme="minorHAnsi"/>
        </w:rPr>
        <w:t>,</w:t>
      </w:r>
      <w:r w:rsidR="00D01180" w:rsidRPr="00877C7B">
        <w:rPr>
          <w:rFonts w:cstheme="minorHAnsi"/>
        </w:rPr>
        <w:t xml:space="preserve"> decreased sharply due to the coronavirus (COVID-19) pandemic, when the closure of borders and the supply-chain imbalance had in place. Therefore, </w:t>
      </w:r>
      <w:r w:rsidR="00031289" w:rsidRPr="00877C7B">
        <w:rPr>
          <w:rFonts w:cstheme="minorHAnsi"/>
        </w:rPr>
        <w:t xml:space="preserve">the </w:t>
      </w:r>
      <w:r w:rsidR="00D01180" w:rsidRPr="00877C7B">
        <w:rPr>
          <w:rFonts w:cstheme="minorHAnsi"/>
        </w:rPr>
        <w:t xml:space="preserve">current account deficit has increased meaningfully. </w:t>
      </w:r>
      <w:r w:rsidR="00040C80" w:rsidRPr="00877C7B">
        <w:rPr>
          <w:rFonts w:cstheme="minorHAnsi"/>
        </w:rPr>
        <w:t xml:space="preserve">Import projections have </w:t>
      </w:r>
      <w:r w:rsidR="004077A9" w:rsidRPr="00877C7B">
        <w:rPr>
          <w:rFonts w:cstheme="minorHAnsi"/>
        </w:rPr>
        <w:t xml:space="preserve">been </w:t>
      </w:r>
      <w:r w:rsidR="00040C80" w:rsidRPr="00877C7B">
        <w:rPr>
          <w:rFonts w:cstheme="minorHAnsi"/>
        </w:rPr>
        <w:t xml:space="preserve">decreased as well, </w:t>
      </w:r>
      <w:r w:rsidR="009367C9" w:rsidRPr="00877C7B">
        <w:rPr>
          <w:rFonts w:cstheme="minorHAnsi"/>
        </w:rPr>
        <w:t xml:space="preserve">but </w:t>
      </w:r>
      <w:r w:rsidR="00031289" w:rsidRPr="00877C7B">
        <w:rPr>
          <w:rFonts w:cstheme="minorHAnsi"/>
        </w:rPr>
        <w:t xml:space="preserve">the </w:t>
      </w:r>
      <w:r w:rsidR="009367C9" w:rsidRPr="00877C7B">
        <w:rPr>
          <w:rFonts w:cstheme="minorHAnsi"/>
        </w:rPr>
        <w:t>reduction in</w:t>
      </w:r>
      <w:r w:rsidR="009367C9" w:rsidRPr="00877C7B">
        <w:rPr>
          <w:rFonts w:cstheme="minorHAnsi"/>
          <w:lang w:val="ka-GE"/>
        </w:rPr>
        <w:t xml:space="preserve"> exports </w:t>
      </w:r>
      <w:r w:rsidR="009367C9" w:rsidRPr="00877C7B">
        <w:rPr>
          <w:rFonts w:cstheme="minorHAnsi"/>
        </w:rPr>
        <w:t>is</w:t>
      </w:r>
      <w:r w:rsidR="009367C9" w:rsidRPr="00877C7B">
        <w:rPr>
          <w:rFonts w:cstheme="minorHAnsi"/>
          <w:lang w:val="ka-GE"/>
        </w:rPr>
        <w:t xml:space="preserve"> higher than</w:t>
      </w:r>
      <w:r w:rsidR="009367C9" w:rsidRPr="00877C7B">
        <w:rPr>
          <w:rFonts w:cstheme="minorHAnsi"/>
        </w:rPr>
        <w:t xml:space="preserve"> in</w:t>
      </w:r>
      <w:r w:rsidR="009367C9" w:rsidRPr="00877C7B">
        <w:rPr>
          <w:rFonts w:cstheme="minorHAnsi"/>
          <w:lang w:val="ka-GE"/>
        </w:rPr>
        <w:t xml:space="preserve"> imports</w:t>
      </w:r>
      <w:r w:rsidR="009367C9" w:rsidRPr="00877C7B">
        <w:rPr>
          <w:rFonts w:cstheme="minorHAnsi"/>
        </w:rPr>
        <w:t xml:space="preserve">, which leads </w:t>
      </w:r>
      <w:r w:rsidR="00031289" w:rsidRPr="00877C7B">
        <w:rPr>
          <w:rFonts w:cstheme="minorHAnsi"/>
        </w:rPr>
        <w:t xml:space="preserve">to </w:t>
      </w:r>
      <w:r w:rsidR="009367C9" w:rsidRPr="00877C7B">
        <w:rPr>
          <w:rFonts w:cstheme="minorHAnsi"/>
        </w:rPr>
        <w:t xml:space="preserve">the </w:t>
      </w:r>
      <w:r w:rsidR="009367C9" w:rsidRPr="00877C7B">
        <w:rPr>
          <w:rFonts w:cstheme="minorHAnsi"/>
          <w:lang w:val="ka-GE"/>
        </w:rPr>
        <w:t>balance of goods and services</w:t>
      </w:r>
      <w:r w:rsidR="009367C9" w:rsidRPr="00877C7B">
        <w:rPr>
          <w:rFonts w:cstheme="minorHAnsi"/>
        </w:rPr>
        <w:t xml:space="preserve"> to worsen</w:t>
      </w:r>
      <w:r w:rsidR="00040C80" w:rsidRPr="00877C7B">
        <w:rPr>
          <w:rFonts w:cstheme="minorHAnsi"/>
        </w:rPr>
        <w:t xml:space="preserve">. </w:t>
      </w:r>
      <w:r w:rsidR="009367C9" w:rsidRPr="00877C7B">
        <w:rPr>
          <w:rFonts w:cstheme="minorHAnsi"/>
          <w:lang w:val="ka-GE"/>
        </w:rPr>
        <w:t xml:space="preserve">Changes in export and import forecasts </w:t>
      </w:r>
      <w:r w:rsidR="009367C9" w:rsidRPr="00877C7B">
        <w:rPr>
          <w:rFonts w:cstheme="minorHAnsi"/>
        </w:rPr>
        <w:t>depict</w:t>
      </w:r>
      <w:r w:rsidR="009367C9" w:rsidRPr="00877C7B">
        <w:rPr>
          <w:rFonts w:cstheme="minorHAnsi"/>
          <w:lang w:val="ka-GE"/>
        </w:rPr>
        <w:t xml:space="preserve"> recent</w:t>
      </w:r>
      <w:r w:rsidR="009367C9" w:rsidRPr="00877C7B">
        <w:rPr>
          <w:rFonts w:cstheme="minorHAnsi"/>
        </w:rPr>
        <w:t xml:space="preserve"> pandemic</w:t>
      </w:r>
      <w:r w:rsidR="009367C9" w:rsidRPr="00877C7B">
        <w:rPr>
          <w:rFonts w:cstheme="minorHAnsi"/>
          <w:lang w:val="ka-GE"/>
        </w:rPr>
        <w:t xml:space="preserve"> trends</w:t>
      </w:r>
      <w:r w:rsidR="00040C80" w:rsidRPr="00877C7B">
        <w:rPr>
          <w:rFonts w:cstheme="minorHAnsi"/>
        </w:rPr>
        <w:t>.</w:t>
      </w:r>
      <w:r w:rsidR="009367C9" w:rsidRPr="00877C7B">
        <w:rPr>
          <w:rFonts w:cstheme="minorHAnsi"/>
        </w:rPr>
        <w:t xml:space="preserve"> </w:t>
      </w:r>
    </w:p>
    <w:p w:rsidR="00877C7B" w:rsidRPr="00877C7B" w:rsidRDefault="004077A9" w:rsidP="00877C7B">
      <w:pPr>
        <w:pStyle w:val="NoSpacing"/>
        <w:spacing w:line="276" w:lineRule="auto"/>
        <w:ind w:firstLine="720"/>
        <w:jc w:val="both"/>
        <w:rPr>
          <w:rFonts w:cstheme="minorHAnsi"/>
        </w:rPr>
      </w:pPr>
      <w:r w:rsidRPr="00877C7B">
        <w:rPr>
          <w:rFonts w:cstheme="minorHAnsi"/>
        </w:rPr>
        <w:t>Forecasts of f</w:t>
      </w:r>
      <w:r w:rsidR="00441633" w:rsidRPr="00877C7B">
        <w:rPr>
          <w:rFonts w:cstheme="minorHAnsi"/>
        </w:rPr>
        <w:t xml:space="preserve">actor income have </w:t>
      </w:r>
      <w:r w:rsidR="00A35C7D" w:rsidRPr="00877C7B">
        <w:rPr>
          <w:rFonts w:cstheme="minorHAnsi"/>
        </w:rPr>
        <w:t>been decreased. Income forecast are</w:t>
      </w:r>
      <w:r w:rsidR="00441633" w:rsidRPr="00877C7B">
        <w:rPr>
          <w:rFonts w:cstheme="minorHAnsi"/>
        </w:rPr>
        <w:t xml:space="preserve"> influenced by the higher debt with operation</w:t>
      </w:r>
      <w:r w:rsidR="000C1952" w:rsidRPr="00877C7B">
        <w:rPr>
          <w:rFonts w:cstheme="minorHAnsi"/>
        </w:rPr>
        <w:t>al</w:t>
      </w:r>
      <w:r w:rsidR="00441633" w:rsidRPr="00877C7B">
        <w:rPr>
          <w:rFonts w:cstheme="minorHAnsi"/>
        </w:rPr>
        <w:t xml:space="preserve"> as well as exchange rate effects. </w:t>
      </w:r>
      <w:r w:rsidR="000C1952" w:rsidRPr="00877C7B">
        <w:rPr>
          <w:rFonts w:cstheme="minorHAnsi"/>
        </w:rPr>
        <w:t xml:space="preserve">Higher debt will cause more interest payments during the coming years. As a result of the new coronavirus (COVID-19) pandemic, </w:t>
      </w:r>
      <w:r w:rsidR="00183227" w:rsidRPr="00877C7B">
        <w:rPr>
          <w:rFonts w:cstheme="minorHAnsi"/>
        </w:rPr>
        <w:t xml:space="preserve">economic growth declined around the world, which has resulted to </w:t>
      </w:r>
      <w:r w:rsidR="001601C1" w:rsidRPr="00877C7B">
        <w:rPr>
          <w:rFonts w:cstheme="minorHAnsi"/>
        </w:rPr>
        <w:t>drop</w:t>
      </w:r>
      <w:r w:rsidR="00183227" w:rsidRPr="00877C7B">
        <w:rPr>
          <w:rFonts w:cstheme="minorHAnsi"/>
        </w:rPr>
        <w:t xml:space="preserve"> </w:t>
      </w:r>
      <w:r w:rsidR="001601C1" w:rsidRPr="00877C7B">
        <w:rPr>
          <w:rFonts w:cstheme="minorHAnsi"/>
        </w:rPr>
        <w:t xml:space="preserve">in </w:t>
      </w:r>
      <w:r w:rsidR="00183227" w:rsidRPr="00877C7B">
        <w:rPr>
          <w:rFonts w:cstheme="minorHAnsi"/>
        </w:rPr>
        <w:t xml:space="preserve">the primary as well as the secondary income. </w:t>
      </w:r>
    </w:p>
    <w:p w:rsidR="00183227" w:rsidRPr="00877C7B" w:rsidRDefault="00183227" w:rsidP="00877C7B">
      <w:pPr>
        <w:pStyle w:val="NoSpacing"/>
        <w:spacing w:after="240" w:line="276" w:lineRule="auto"/>
        <w:ind w:firstLine="720"/>
        <w:jc w:val="both"/>
        <w:rPr>
          <w:rFonts w:cstheme="minorHAnsi"/>
        </w:rPr>
      </w:pPr>
      <w:r w:rsidRPr="00877C7B">
        <w:rPr>
          <w:rFonts w:cstheme="minorHAnsi"/>
        </w:rPr>
        <w:t xml:space="preserve">The forecast of monetary indicators has also </w:t>
      </w:r>
      <w:r w:rsidR="001601C1" w:rsidRPr="00877C7B">
        <w:rPr>
          <w:rFonts w:cstheme="minorHAnsi"/>
        </w:rPr>
        <w:t xml:space="preserve">been </w:t>
      </w:r>
      <w:r w:rsidRPr="00877C7B">
        <w:rPr>
          <w:rFonts w:cstheme="minorHAnsi"/>
        </w:rPr>
        <w:t xml:space="preserve">adjusted. Given the </w:t>
      </w:r>
      <w:r w:rsidR="002462F4" w:rsidRPr="00877C7B">
        <w:rPr>
          <w:rFonts w:cstheme="minorHAnsi"/>
        </w:rPr>
        <w:t>current trends, it is likely that the broad money forecast fo</w:t>
      </w:r>
      <w:r w:rsidR="00031289" w:rsidRPr="00877C7B">
        <w:rPr>
          <w:rFonts w:cstheme="minorHAnsi"/>
        </w:rPr>
        <w:t>r</w:t>
      </w:r>
      <w:r w:rsidR="002462F4" w:rsidRPr="00877C7B">
        <w:rPr>
          <w:rFonts w:cstheme="minorHAnsi"/>
        </w:rPr>
        <w:t xml:space="preserve"> 2020 wil</w:t>
      </w:r>
      <w:r w:rsidR="0068207E" w:rsidRPr="00877C7B">
        <w:rPr>
          <w:rFonts w:cstheme="minorHAnsi"/>
        </w:rPr>
        <w:t xml:space="preserve">l be behind its initial forecast. It is caused by the possession </w:t>
      </w:r>
      <w:r w:rsidR="00C52A10" w:rsidRPr="00877C7B">
        <w:rPr>
          <w:rFonts w:cstheme="minorHAnsi"/>
        </w:rPr>
        <w:t xml:space="preserve">of inflationary processes due to the slowing of economic activity. </w:t>
      </w:r>
      <w:r w:rsidR="00276E9F" w:rsidRPr="00877C7B">
        <w:rPr>
          <w:rFonts w:cstheme="minorHAnsi"/>
        </w:rPr>
        <w:t xml:space="preserve">There are changes in the composition of the banking sector assets. </w:t>
      </w:r>
      <w:r w:rsidR="007B2B0E" w:rsidRPr="00877C7B">
        <w:rPr>
          <w:rFonts w:cstheme="minorHAnsi"/>
        </w:rPr>
        <w:t xml:space="preserve">Given the broad money forecast, achieving the inflation target will require managing domestic assets, which can only be done by adjusting the claims </w:t>
      </w:r>
      <w:r w:rsidR="00CE72D4" w:rsidRPr="00877C7B">
        <w:rPr>
          <w:rFonts w:cstheme="minorHAnsi"/>
        </w:rPr>
        <w:t xml:space="preserve">on the rest of the economy. </w:t>
      </w:r>
      <w:r w:rsidR="001601C1" w:rsidRPr="00877C7B">
        <w:rPr>
          <w:rFonts w:cstheme="minorHAnsi"/>
        </w:rPr>
        <w:t>Though</w:t>
      </w:r>
      <w:r w:rsidR="00A91134" w:rsidRPr="00877C7B">
        <w:rPr>
          <w:rFonts w:cstheme="minorHAnsi"/>
        </w:rPr>
        <w:t xml:space="preserve">, under the updated forecast, an adjustment of the claims on </w:t>
      </w:r>
      <w:r w:rsidR="00031289" w:rsidRPr="00877C7B">
        <w:rPr>
          <w:rFonts w:cstheme="minorHAnsi"/>
        </w:rPr>
        <w:t xml:space="preserve">the </w:t>
      </w:r>
      <w:r w:rsidR="00A91134" w:rsidRPr="00877C7B">
        <w:rPr>
          <w:rFonts w:cstheme="minorHAnsi"/>
        </w:rPr>
        <w:t>private sector will not repress the priva</w:t>
      </w:r>
      <w:r w:rsidR="008261EB" w:rsidRPr="00877C7B">
        <w:rPr>
          <w:rFonts w:cstheme="minorHAnsi"/>
        </w:rPr>
        <w:t xml:space="preserve">te sector from </w:t>
      </w:r>
      <w:r w:rsidR="00FB76BA" w:rsidRPr="00877C7B">
        <w:rPr>
          <w:rFonts w:cstheme="minorHAnsi"/>
        </w:rPr>
        <w:t xml:space="preserve">the credit market and the banking sector will be able to lend </w:t>
      </w:r>
      <w:r w:rsidR="00476079" w:rsidRPr="00877C7B">
        <w:rPr>
          <w:rFonts w:cstheme="minorHAnsi"/>
        </w:rPr>
        <w:t xml:space="preserve">to the private sector in order to provide it with enough financial resources, needed for economic development. </w:t>
      </w:r>
    </w:p>
    <w:p w:rsidR="00476079" w:rsidRPr="00877C7B" w:rsidRDefault="00476079" w:rsidP="00D01180">
      <w:pPr>
        <w:pStyle w:val="NoSpacing"/>
        <w:jc w:val="both"/>
        <w:rPr>
          <w:rFonts w:cstheme="minorHAnsi"/>
        </w:rPr>
      </w:pPr>
    </w:p>
    <w:tbl>
      <w:tblPr>
        <w:tblStyle w:val="TableGrid"/>
        <w:tblW w:w="10075" w:type="dxa"/>
        <w:tblLook w:val="04A0" w:firstRow="1" w:lastRow="0" w:firstColumn="1" w:lastColumn="0" w:noHBand="0" w:noVBand="1"/>
      </w:tblPr>
      <w:tblGrid>
        <w:gridCol w:w="3685"/>
        <w:gridCol w:w="1080"/>
        <w:gridCol w:w="1170"/>
        <w:gridCol w:w="1080"/>
        <w:gridCol w:w="990"/>
        <w:gridCol w:w="990"/>
        <w:gridCol w:w="1080"/>
      </w:tblGrid>
      <w:tr w:rsidR="00476079" w:rsidRPr="00877C7B" w:rsidTr="00552D21">
        <w:trPr>
          <w:trHeight w:val="113"/>
          <w:tblHeader/>
        </w:trPr>
        <w:tc>
          <w:tcPr>
            <w:tcW w:w="3685" w:type="dxa"/>
            <w:tcBorders>
              <w:bottom w:val="single" w:sz="4" w:space="0" w:color="auto"/>
            </w:tcBorders>
            <w:noWrap/>
            <w:vAlign w:val="bottom"/>
            <w:hideMark/>
          </w:tcPr>
          <w:p w:rsidR="00476079" w:rsidRPr="00877C7B" w:rsidRDefault="00476079" w:rsidP="00476079">
            <w:pPr>
              <w:rPr>
                <w:rFonts w:eastAsia="Times New Roman" w:cstheme="minorHAnsi"/>
                <w:b/>
                <w:bCs/>
                <w:color w:val="000000"/>
                <w:sz w:val="20"/>
                <w:lang w:val="ka-GE"/>
              </w:rPr>
            </w:pPr>
            <w:r w:rsidRPr="00877C7B">
              <w:rPr>
                <w:rFonts w:eastAsia="Times New Roman" w:cstheme="minorHAnsi"/>
                <w:b/>
                <w:color w:val="000000"/>
                <w:sz w:val="20"/>
                <w:szCs w:val="20"/>
              </w:rPr>
              <w:t>Table 6. Review of Depositary Corporations</w:t>
            </w:r>
          </w:p>
        </w:tc>
        <w:tc>
          <w:tcPr>
            <w:tcW w:w="108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lang w:val="ka-GE"/>
              </w:rPr>
            </w:pPr>
          </w:p>
        </w:tc>
        <w:tc>
          <w:tcPr>
            <w:tcW w:w="117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lang w:val="ka-GE"/>
              </w:rPr>
            </w:pPr>
          </w:p>
        </w:tc>
        <w:tc>
          <w:tcPr>
            <w:tcW w:w="108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rPr>
            </w:pPr>
          </w:p>
        </w:tc>
        <w:tc>
          <w:tcPr>
            <w:tcW w:w="99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rPr>
            </w:pPr>
          </w:p>
        </w:tc>
        <w:tc>
          <w:tcPr>
            <w:tcW w:w="99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rPr>
            </w:pPr>
          </w:p>
        </w:tc>
        <w:tc>
          <w:tcPr>
            <w:tcW w:w="108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18"/>
                <w:szCs w:val="18"/>
              </w:rPr>
            </w:pPr>
          </w:p>
        </w:tc>
      </w:tr>
      <w:tr w:rsidR="00476079" w:rsidRPr="00877C7B" w:rsidTr="00552D21">
        <w:trPr>
          <w:trHeight w:val="113"/>
        </w:trPr>
        <w:tc>
          <w:tcPr>
            <w:tcW w:w="3685" w:type="dxa"/>
            <w:tcBorders>
              <w:bottom w:val="single" w:sz="4" w:space="0" w:color="auto"/>
            </w:tcBorders>
            <w:noWrap/>
            <w:vAlign w:val="bottom"/>
          </w:tcPr>
          <w:p w:rsidR="00476079" w:rsidRPr="00877C7B" w:rsidRDefault="00252D24" w:rsidP="00476079">
            <w:pPr>
              <w:rPr>
                <w:rFonts w:eastAsia="Times New Roman" w:cstheme="minorHAnsi"/>
                <w:color w:val="000000"/>
                <w:sz w:val="20"/>
              </w:rPr>
            </w:pPr>
            <w:r w:rsidRPr="00877C7B">
              <w:rPr>
                <w:rFonts w:eastAsia="Times New Roman" w:cstheme="minorHAnsi"/>
                <w:color w:val="000000"/>
                <w:sz w:val="20"/>
                <w:szCs w:val="20"/>
              </w:rPr>
              <w:t>(Million GEL)</w:t>
            </w:r>
          </w:p>
        </w:tc>
        <w:tc>
          <w:tcPr>
            <w:tcW w:w="1080" w:type="dxa"/>
            <w:tcBorders>
              <w:bottom w:val="single" w:sz="4" w:space="0" w:color="auto"/>
            </w:tcBorders>
            <w:noWrap/>
            <w:vAlign w:val="center"/>
          </w:tcPr>
          <w:p w:rsidR="00476079" w:rsidRPr="00877C7B" w:rsidRDefault="00476079" w:rsidP="00476079">
            <w:pPr>
              <w:pStyle w:val="NoSpacing"/>
              <w:jc w:val="center"/>
              <w:rPr>
                <w:rFonts w:eastAsia="Times New Roman" w:cstheme="minorHAnsi"/>
                <w:b/>
                <w:bCs/>
                <w:color w:val="000000"/>
                <w:sz w:val="20"/>
                <w:szCs w:val="18"/>
              </w:rPr>
            </w:pPr>
            <w:r w:rsidRPr="00877C7B">
              <w:rPr>
                <w:rFonts w:eastAsia="Times New Roman" w:cstheme="minorHAnsi"/>
                <w:b/>
                <w:bCs/>
                <w:color w:val="000000"/>
                <w:sz w:val="20"/>
                <w:szCs w:val="18"/>
              </w:rPr>
              <w:t>2019</w:t>
            </w:r>
          </w:p>
        </w:tc>
        <w:tc>
          <w:tcPr>
            <w:tcW w:w="1170" w:type="dxa"/>
            <w:tcBorders>
              <w:bottom w:val="single" w:sz="4" w:space="0" w:color="auto"/>
            </w:tcBorders>
            <w:noWrap/>
            <w:vAlign w:val="center"/>
          </w:tcPr>
          <w:p w:rsidR="00476079" w:rsidRPr="00877C7B" w:rsidRDefault="00476079" w:rsidP="00476079">
            <w:pPr>
              <w:jc w:val="center"/>
              <w:rPr>
                <w:rFonts w:eastAsia="Times New Roman" w:cstheme="minorHAnsi"/>
                <w:b/>
                <w:bCs/>
                <w:color w:val="000000"/>
                <w:sz w:val="20"/>
                <w:szCs w:val="18"/>
              </w:rPr>
            </w:pPr>
            <w:r w:rsidRPr="00877C7B">
              <w:rPr>
                <w:rFonts w:eastAsia="Times New Roman" w:cstheme="minorHAnsi"/>
                <w:b/>
                <w:bCs/>
                <w:color w:val="000000"/>
                <w:sz w:val="20"/>
                <w:szCs w:val="18"/>
              </w:rPr>
              <w:t>2020</w:t>
            </w:r>
          </w:p>
        </w:tc>
        <w:tc>
          <w:tcPr>
            <w:tcW w:w="1080" w:type="dxa"/>
            <w:tcBorders>
              <w:bottom w:val="single" w:sz="4" w:space="0" w:color="auto"/>
            </w:tcBorders>
            <w:noWrap/>
            <w:vAlign w:val="center"/>
          </w:tcPr>
          <w:p w:rsidR="00476079" w:rsidRPr="00877C7B" w:rsidRDefault="00476079" w:rsidP="00476079">
            <w:pPr>
              <w:jc w:val="center"/>
              <w:rPr>
                <w:rFonts w:eastAsia="Times New Roman" w:cstheme="minorHAnsi"/>
                <w:b/>
                <w:bCs/>
                <w:color w:val="000000"/>
                <w:sz w:val="20"/>
                <w:szCs w:val="18"/>
              </w:rPr>
            </w:pPr>
            <w:r w:rsidRPr="00877C7B">
              <w:rPr>
                <w:rFonts w:eastAsia="Times New Roman" w:cstheme="minorHAnsi"/>
                <w:b/>
                <w:bCs/>
                <w:color w:val="000000"/>
                <w:sz w:val="20"/>
                <w:szCs w:val="18"/>
              </w:rPr>
              <w:t>2021</w:t>
            </w:r>
          </w:p>
        </w:tc>
        <w:tc>
          <w:tcPr>
            <w:tcW w:w="990" w:type="dxa"/>
            <w:tcBorders>
              <w:bottom w:val="single" w:sz="4" w:space="0" w:color="auto"/>
            </w:tcBorders>
            <w:noWrap/>
            <w:vAlign w:val="center"/>
          </w:tcPr>
          <w:p w:rsidR="00476079" w:rsidRPr="00877C7B" w:rsidRDefault="00476079" w:rsidP="00476079">
            <w:pPr>
              <w:jc w:val="center"/>
              <w:rPr>
                <w:rFonts w:eastAsia="Times New Roman" w:cstheme="minorHAnsi"/>
                <w:b/>
                <w:bCs/>
                <w:color w:val="000000"/>
                <w:sz w:val="20"/>
                <w:szCs w:val="18"/>
              </w:rPr>
            </w:pPr>
            <w:r w:rsidRPr="00877C7B">
              <w:rPr>
                <w:rFonts w:eastAsia="Times New Roman" w:cstheme="minorHAnsi"/>
                <w:b/>
                <w:bCs/>
                <w:color w:val="000000"/>
                <w:sz w:val="20"/>
                <w:szCs w:val="18"/>
              </w:rPr>
              <w:t>2022</w:t>
            </w:r>
          </w:p>
        </w:tc>
        <w:tc>
          <w:tcPr>
            <w:tcW w:w="990" w:type="dxa"/>
            <w:tcBorders>
              <w:bottom w:val="single" w:sz="4" w:space="0" w:color="auto"/>
            </w:tcBorders>
            <w:noWrap/>
            <w:vAlign w:val="center"/>
          </w:tcPr>
          <w:p w:rsidR="00476079" w:rsidRPr="00877C7B" w:rsidRDefault="00476079" w:rsidP="00476079">
            <w:pPr>
              <w:jc w:val="center"/>
              <w:rPr>
                <w:rFonts w:eastAsia="Times New Roman" w:cstheme="minorHAnsi"/>
                <w:b/>
                <w:bCs/>
                <w:color w:val="000000"/>
                <w:sz w:val="20"/>
                <w:szCs w:val="18"/>
              </w:rPr>
            </w:pPr>
            <w:r w:rsidRPr="00877C7B">
              <w:rPr>
                <w:rFonts w:eastAsia="Times New Roman" w:cstheme="minorHAnsi"/>
                <w:b/>
                <w:bCs/>
                <w:color w:val="000000"/>
                <w:sz w:val="20"/>
                <w:szCs w:val="18"/>
              </w:rPr>
              <w:t>2023</w:t>
            </w:r>
          </w:p>
        </w:tc>
        <w:tc>
          <w:tcPr>
            <w:tcW w:w="1080" w:type="dxa"/>
            <w:tcBorders>
              <w:bottom w:val="single" w:sz="4" w:space="0" w:color="auto"/>
            </w:tcBorders>
            <w:noWrap/>
            <w:vAlign w:val="center"/>
          </w:tcPr>
          <w:p w:rsidR="00476079" w:rsidRPr="00877C7B" w:rsidRDefault="00476079" w:rsidP="00476079">
            <w:pPr>
              <w:jc w:val="center"/>
              <w:rPr>
                <w:rFonts w:eastAsia="Times New Roman" w:cstheme="minorHAnsi"/>
                <w:b/>
                <w:bCs/>
                <w:color w:val="000000"/>
                <w:sz w:val="20"/>
                <w:szCs w:val="18"/>
              </w:rPr>
            </w:pPr>
            <w:r w:rsidRPr="00877C7B">
              <w:rPr>
                <w:rFonts w:eastAsia="Times New Roman" w:cstheme="minorHAnsi"/>
                <w:b/>
                <w:bCs/>
                <w:color w:val="000000"/>
                <w:sz w:val="20"/>
                <w:szCs w:val="18"/>
              </w:rPr>
              <w:t>2024</w:t>
            </w:r>
          </w:p>
        </w:tc>
      </w:tr>
      <w:tr w:rsidR="001601C1" w:rsidRPr="00877C7B" w:rsidTr="00552D21">
        <w:trPr>
          <w:trHeight w:val="113"/>
        </w:trPr>
        <w:tc>
          <w:tcPr>
            <w:tcW w:w="3685" w:type="dxa"/>
            <w:tcBorders>
              <w:bottom w:val="single" w:sz="4" w:space="0" w:color="auto"/>
            </w:tcBorders>
            <w:noWrap/>
            <w:vAlign w:val="bottom"/>
          </w:tcPr>
          <w:p w:rsidR="001601C1" w:rsidRPr="00877C7B" w:rsidRDefault="001601C1" w:rsidP="001601C1">
            <w:pPr>
              <w:pStyle w:val="NoSpacing"/>
              <w:rPr>
                <w:rFonts w:eastAsia="Times New Roman" w:cstheme="minorHAnsi"/>
                <w:b/>
                <w:bCs/>
                <w:color w:val="000000"/>
                <w:sz w:val="20"/>
                <w:szCs w:val="18"/>
              </w:rPr>
            </w:pPr>
          </w:p>
        </w:tc>
        <w:tc>
          <w:tcPr>
            <w:tcW w:w="108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Actual</w:t>
            </w:r>
          </w:p>
        </w:tc>
        <w:tc>
          <w:tcPr>
            <w:tcW w:w="117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Expected</w:t>
            </w:r>
          </w:p>
        </w:tc>
        <w:tc>
          <w:tcPr>
            <w:tcW w:w="108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99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c>
          <w:tcPr>
            <w:tcW w:w="1080" w:type="dxa"/>
            <w:tcBorders>
              <w:bottom w:val="single" w:sz="4" w:space="0" w:color="auto"/>
            </w:tcBorders>
            <w:noWrap/>
            <w:vAlign w:val="center"/>
          </w:tcPr>
          <w:p w:rsidR="001601C1" w:rsidRPr="00877C7B" w:rsidRDefault="001601C1" w:rsidP="001601C1">
            <w:pPr>
              <w:jc w:val="center"/>
              <w:rPr>
                <w:rFonts w:eastAsia="Times New Roman" w:cstheme="minorHAnsi"/>
                <w:b/>
                <w:bCs/>
                <w:color w:val="000000"/>
                <w:sz w:val="18"/>
                <w:szCs w:val="18"/>
              </w:rPr>
            </w:pPr>
            <w:r w:rsidRPr="00877C7B">
              <w:rPr>
                <w:rFonts w:eastAsia="Times New Roman" w:cstheme="minorHAnsi"/>
                <w:color w:val="000000"/>
                <w:sz w:val="20"/>
                <w:szCs w:val="20"/>
              </w:rPr>
              <w:t>Forecast</w:t>
            </w:r>
          </w:p>
        </w:tc>
      </w:tr>
      <w:tr w:rsidR="001601C1" w:rsidRPr="00877C7B" w:rsidTr="00552D21">
        <w:trPr>
          <w:trHeight w:val="113"/>
        </w:trPr>
        <w:tc>
          <w:tcPr>
            <w:tcW w:w="3685" w:type="dxa"/>
            <w:tcBorders>
              <w:bottom w:val="single" w:sz="4" w:space="0" w:color="auto"/>
            </w:tcBorders>
            <w:noWrap/>
            <w:vAlign w:val="center"/>
            <w:hideMark/>
          </w:tcPr>
          <w:p w:rsidR="001601C1" w:rsidRPr="00877C7B" w:rsidRDefault="001601C1" w:rsidP="001601C1">
            <w:pPr>
              <w:pStyle w:val="NoSpacing"/>
              <w:rPr>
                <w:rFonts w:eastAsia="Times New Roman" w:cstheme="minorHAnsi"/>
                <w:b/>
                <w:bCs/>
                <w:color w:val="000000"/>
                <w:sz w:val="20"/>
                <w:szCs w:val="18"/>
              </w:rPr>
            </w:pPr>
            <w:r w:rsidRPr="00877C7B">
              <w:rPr>
                <w:rFonts w:eastAsia="Times New Roman" w:cstheme="minorHAnsi"/>
                <w:b/>
                <w:bCs/>
                <w:color w:val="000000"/>
                <w:sz w:val="20"/>
                <w:szCs w:val="20"/>
              </w:rPr>
              <w:t xml:space="preserve">Forecast of Broad Money M3 December 2019 </w:t>
            </w:r>
          </w:p>
        </w:tc>
        <w:tc>
          <w:tcPr>
            <w:tcW w:w="108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25,766.2</w:t>
            </w:r>
          </w:p>
        </w:tc>
        <w:tc>
          <w:tcPr>
            <w:tcW w:w="117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29,463.7</w:t>
            </w:r>
          </w:p>
        </w:tc>
        <w:tc>
          <w:tcPr>
            <w:tcW w:w="108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33,518.2</w:t>
            </w:r>
          </w:p>
        </w:tc>
        <w:tc>
          <w:tcPr>
            <w:tcW w:w="99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38,130.7</w:t>
            </w:r>
          </w:p>
        </w:tc>
        <w:tc>
          <w:tcPr>
            <w:tcW w:w="99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43,900.9</w:t>
            </w:r>
          </w:p>
        </w:tc>
        <w:tc>
          <w:tcPr>
            <w:tcW w:w="1080" w:type="dxa"/>
            <w:tcBorders>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lang w:val="ka-GE"/>
              </w:rPr>
            </w:pPr>
            <w:r w:rsidRPr="00877C7B">
              <w:rPr>
                <w:rFonts w:eastAsia="Times New Roman" w:cstheme="minorHAnsi"/>
                <w:b/>
                <w:bCs/>
                <w:color w:val="000000"/>
                <w:sz w:val="18"/>
                <w:szCs w:val="18"/>
                <w:lang w:val="ka-GE"/>
              </w:rPr>
              <w:t>-</w:t>
            </w:r>
          </w:p>
        </w:tc>
      </w:tr>
      <w:tr w:rsidR="001601C1" w:rsidRPr="00877C7B" w:rsidTr="00552D21">
        <w:trPr>
          <w:trHeight w:val="113"/>
        </w:trPr>
        <w:tc>
          <w:tcPr>
            <w:tcW w:w="3685" w:type="dxa"/>
            <w:tcBorders>
              <w:top w:val="single" w:sz="4" w:space="0" w:color="auto"/>
              <w:left w:val="single" w:sz="4" w:space="0" w:color="auto"/>
              <w:bottom w:val="nil"/>
            </w:tcBorders>
            <w:noWrap/>
            <w:vAlign w:val="bottom"/>
            <w:hideMark/>
          </w:tcPr>
          <w:p w:rsidR="001601C1" w:rsidRPr="00877C7B" w:rsidRDefault="001601C1" w:rsidP="001601C1">
            <w:pPr>
              <w:rPr>
                <w:rFonts w:eastAsia="Times New Roman" w:cstheme="minorHAnsi"/>
                <w:b/>
                <w:color w:val="000000"/>
                <w:sz w:val="20"/>
                <w:szCs w:val="20"/>
              </w:rPr>
            </w:pPr>
            <w:r w:rsidRPr="00877C7B">
              <w:rPr>
                <w:rFonts w:eastAsia="Times New Roman" w:cstheme="minorHAnsi"/>
                <w:b/>
                <w:color w:val="000000"/>
                <w:sz w:val="20"/>
                <w:szCs w:val="20"/>
              </w:rPr>
              <w:t>Changes</w:t>
            </w:r>
          </w:p>
        </w:tc>
        <w:tc>
          <w:tcPr>
            <w:tcW w:w="1080" w:type="dxa"/>
            <w:tcBorders>
              <w:top w:val="single" w:sz="4" w:space="0" w:color="auto"/>
              <w:bottom w:val="nil"/>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c>
          <w:tcPr>
            <w:tcW w:w="1170" w:type="dxa"/>
            <w:tcBorders>
              <w:top w:val="single" w:sz="4" w:space="0" w:color="auto"/>
              <w:bottom w:val="nil"/>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c>
          <w:tcPr>
            <w:tcW w:w="1080" w:type="dxa"/>
            <w:tcBorders>
              <w:top w:val="single" w:sz="4" w:space="0" w:color="auto"/>
              <w:bottom w:val="nil"/>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c>
          <w:tcPr>
            <w:tcW w:w="990" w:type="dxa"/>
            <w:tcBorders>
              <w:top w:val="single" w:sz="4" w:space="0" w:color="auto"/>
              <w:bottom w:val="nil"/>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c>
          <w:tcPr>
            <w:tcW w:w="990" w:type="dxa"/>
            <w:tcBorders>
              <w:top w:val="single" w:sz="4" w:space="0" w:color="auto"/>
              <w:bottom w:val="nil"/>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c>
          <w:tcPr>
            <w:tcW w:w="1080" w:type="dxa"/>
            <w:tcBorders>
              <w:top w:val="single" w:sz="4" w:space="0" w:color="auto"/>
              <w:bottom w:val="nil"/>
              <w:right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rPr>
            </w:pPr>
            <w:r w:rsidRPr="00877C7B">
              <w:rPr>
                <w:rFonts w:eastAsia="Times New Roman" w:cstheme="minorHAnsi"/>
                <w:color w:val="000000"/>
                <w:sz w:val="20"/>
                <w:szCs w:val="20"/>
              </w:rPr>
              <w:t>Net Foreign Assets</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-218.3</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2,552.5</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1,052.0</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63.8</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-835.0</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1,114.9</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szCs w:val="20"/>
              </w:rPr>
            </w:pPr>
            <w:r w:rsidRPr="00877C7B">
              <w:rPr>
                <w:rFonts w:eastAsia="Times New Roman" w:cstheme="minorHAnsi"/>
                <w:color w:val="000000"/>
                <w:sz w:val="20"/>
                <w:szCs w:val="20"/>
              </w:rPr>
              <w:t>Foreign Assets</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-719.7</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-1,222.7</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-2,377.7</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-3,407.2</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-4,713.5</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21,304.7</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rPr>
            </w:pPr>
            <w:r w:rsidRPr="00877C7B">
              <w:rPr>
                <w:rFonts w:eastAsia="Times New Roman" w:cstheme="minorHAnsi"/>
                <w:color w:val="000000"/>
                <w:sz w:val="20"/>
                <w:szCs w:val="20"/>
              </w:rPr>
              <w:t>Foreign Liabilities</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-501.4</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-3,775.2</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-3,429.6</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-3,471.0</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-3,878.6</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20,189.7</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szCs w:val="20"/>
              </w:rPr>
            </w:pPr>
            <w:r w:rsidRPr="00877C7B">
              <w:rPr>
                <w:rFonts w:eastAsia="Times New Roman" w:cstheme="minorHAnsi"/>
                <w:color w:val="000000"/>
                <w:sz w:val="20"/>
                <w:szCs w:val="20"/>
              </w:rPr>
              <w:t>Domestic Assets</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-904.3</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-5,887.4</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-5,104.7</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-4,037.0</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-3,751.4</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43,812.0</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szCs w:val="20"/>
              </w:rPr>
            </w:pPr>
            <w:r w:rsidRPr="00877C7B">
              <w:rPr>
                <w:rFonts w:eastAsia="Times New Roman" w:cstheme="minorHAnsi"/>
                <w:color w:val="000000"/>
                <w:sz w:val="20"/>
                <w:szCs w:val="20"/>
              </w:rPr>
              <w:t>Government Net Debt</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-0.8</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-1,255.8</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583.2</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1,392.2</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1,200.2</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-281.3</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rPr>
            </w:pPr>
            <w:r w:rsidRPr="00877C7B">
              <w:rPr>
                <w:rFonts w:eastAsia="Times New Roman" w:cstheme="minorHAnsi"/>
                <w:color w:val="000000"/>
                <w:sz w:val="20"/>
                <w:szCs w:val="20"/>
              </w:rPr>
              <w:t>Other Economic Sectors Debt</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-680.0</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-4,110.1</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-5,004.5</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-4,561.4</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-3,883.5</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59,007.6</w:t>
            </w:r>
          </w:p>
        </w:tc>
      </w:tr>
      <w:tr w:rsidR="001601C1" w:rsidRPr="00877C7B" w:rsidTr="00552D21">
        <w:trPr>
          <w:trHeight w:val="113"/>
        </w:trPr>
        <w:tc>
          <w:tcPr>
            <w:tcW w:w="3685" w:type="dxa"/>
            <w:tcBorders>
              <w:top w:val="nil"/>
              <w:bottom w:val="nil"/>
            </w:tcBorders>
            <w:noWrap/>
            <w:vAlign w:val="bottom"/>
            <w:hideMark/>
          </w:tcPr>
          <w:p w:rsidR="001601C1" w:rsidRPr="00877C7B" w:rsidRDefault="001601C1" w:rsidP="001601C1">
            <w:pPr>
              <w:rPr>
                <w:rFonts w:eastAsia="Times New Roman" w:cstheme="minorHAnsi"/>
                <w:color w:val="000000"/>
                <w:sz w:val="20"/>
              </w:rPr>
            </w:pPr>
            <w:r w:rsidRPr="00877C7B">
              <w:rPr>
                <w:rFonts w:eastAsia="Times New Roman" w:cstheme="minorHAnsi"/>
                <w:bCs/>
                <w:color w:val="000000"/>
                <w:sz w:val="20"/>
                <w:szCs w:val="20"/>
              </w:rPr>
              <w:t>Other Components Net</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-223.4</w:t>
            </w:r>
          </w:p>
        </w:tc>
        <w:tc>
          <w:tcPr>
            <w:tcW w:w="117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-521.5</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-683.4</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-867.8</w:t>
            </w:r>
          </w:p>
        </w:tc>
        <w:tc>
          <w:tcPr>
            <w:tcW w:w="99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-1,068.1</w:t>
            </w:r>
          </w:p>
        </w:tc>
        <w:tc>
          <w:tcPr>
            <w:tcW w:w="1080" w:type="dxa"/>
            <w:tcBorders>
              <w:top w:val="nil"/>
              <w:bottom w:val="nil"/>
            </w:tcBorders>
            <w:noWrap/>
            <w:vAlign w:val="center"/>
            <w:hideMark/>
          </w:tcPr>
          <w:p w:rsidR="001601C1" w:rsidRPr="00877C7B" w:rsidRDefault="001601C1" w:rsidP="001601C1">
            <w:pPr>
              <w:pStyle w:val="NoSpacing"/>
              <w:jc w:val="center"/>
              <w:rPr>
                <w:rFonts w:eastAsia="Times New Roman" w:cstheme="minorHAnsi"/>
                <w:color w:val="000000"/>
                <w:sz w:val="18"/>
                <w:szCs w:val="18"/>
              </w:rPr>
            </w:pPr>
            <w:r w:rsidRPr="00877C7B">
              <w:rPr>
                <w:rFonts w:eastAsia="Times New Roman" w:cstheme="minorHAnsi"/>
                <w:color w:val="000000"/>
                <w:sz w:val="18"/>
                <w:szCs w:val="18"/>
              </w:rPr>
              <w:t>-14,914.4</w:t>
            </w:r>
          </w:p>
        </w:tc>
      </w:tr>
      <w:tr w:rsidR="001601C1" w:rsidRPr="00877C7B" w:rsidTr="00552D21">
        <w:trPr>
          <w:trHeight w:val="113"/>
        </w:trPr>
        <w:tc>
          <w:tcPr>
            <w:tcW w:w="3685" w:type="dxa"/>
            <w:tcBorders>
              <w:top w:val="nil"/>
              <w:bottom w:val="single" w:sz="4" w:space="0" w:color="auto"/>
            </w:tcBorders>
            <w:noWrap/>
            <w:vAlign w:val="bottom"/>
            <w:hideMark/>
          </w:tcPr>
          <w:p w:rsidR="001601C1" w:rsidRPr="00877C7B" w:rsidRDefault="001601C1" w:rsidP="001601C1">
            <w:pPr>
              <w:rPr>
                <w:rFonts w:eastAsia="Times New Roman" w:cstheme="minorHAnsi"/>
                <w:b/>
                <w:bCs/>
                <w:color w:val="000000"/>
                <w:sz w:val="20"/>
                <w:szCs w:val="20"/>
              </w:rPr>
            </w:pPr>
            <w:r w:rsidRPr="00877C7B">
              <w:rPr>
                <w:rFonts w:eastAsia="Times New Roman" w:cstheme="minorHAnsi"/>
                <w:b/>
                <w:bCs/>
                <w:color w:val="000000"/>
                <w:sz w:val="20"/>
                <w:szCs w:val="20"/>
              </w:rPr>
              <w:t>Broad Money M3</w:t>
            </w:r>
          </w:p>
        </w:tc>
        <w:tc>
          <w:tcPr>
            <w:tcW w:w="108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-1,122.5</w:t>
            </w:r>
          </w:p>
        </w:tc>
        <w:tc>
          <w:tcPr>
            <w:tcW w:w="117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-3,334.9</w:t>
            </w:r>
          </w:p>
        </w:tc>
        <w:tc>
          <w:tcPr>
            <w:tcW w:w="108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-4,052.7</w:t>
            </w:r>
          </w:p>
        </w:tc>
        <w:tc>
          <w:tcPr>
            <w:tcW w:w="99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-3,973.2</w:t>
            </w:r>
          </w:p>
        </w:tc>
        <w:tc>
          <w:tcPr>
            <w:tcW w:w="99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-4,586.4</w:t>
            </w:r>
          </w:p>
        </w:tc>
        <w:tc>
          <w:tcPr>
            <w:tcW w:w="1080" w:type="dxa"/>
            <w:tcBorders>
              <w:top w:val="nil"/>
              <w:bottom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44,926.9</w:t>
            </w:r>
          </w:p>
        </w:tc>
      </w:tr>
      <w:tr w:rsidR="001601C1" w:rsidRPr="00877C7B" w:rsidTr="00552D21">
        <w:trPr>
          <w:trHeight w:val="113"/>
        </w:trPr>
        <w:tc>
          <w:tcPr>
            <w:tcW w:w="3685" w:type="dxa"/>
            <w:tcBorders>
              <w:top w:val="single" w:sz="4" w:space="0" w:color="auto"/>
            </w:tcBorders>
            <w:noWrap/>
            <w:vAlign w:val="center"/>
            <w:hideMark/>
          </w:tcPr>
          <w:p w:rsidR="001601C1" w:rsidRPr="00877C7B" w:rsidRDefault="001601C1" w:rsidP="001601C1">
            <w:pPr>
              <w:pStyle w:val="NoSpacing"/>
              <w:rPr>
                <w:rFonts w:eastAsia="Times New Roman" w:cstheme="minorHAnsi"/>
                <w:b/>
                <w:bCs/>
                <w:color w:val="000000"/>
                <w:sz w:val="20"/>
                <w:szCs w:val="18"/>
              </w:rPr>
            </w:pPr>
            <w:r w:rsidRPr="00877C7B">
              <w:rPr>
                <w:rFonts w:eastAsia="Times New Roman" w:cstheme="minorHAnsi"/>
                <w:b/>
                <w:bCs/>
                <w:color w:val="000000"/>
                <w:sz w:val="20"/>
                <w:szCs w:val="20"/>
              </w:rPr>
              <w:t xml:space="preserve">Forecast of Broad Money M3 November 2020 </w:t>
            </w:r>
          </w:p>
        </w:tc>
        <w:tc>
          <w:tcPr>
            <w:tcW w:w="108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24,643.7</w:t>
            </w:r>
          </w:p>
        </w:tc>
        <w:tc>
          <w:tcPr>
            <w:tcW w:w="117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26,128.8</w:t>
            </w:r>
          </w:p>
        </w:tc>
        <w:tc>
          <w:tcPr>
            <w:tcW w:w="108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29,465.5</w:t>
            </w:r>
          </w:p>
        </w:tc>
        <w:tc>
          <w:tcPr>
            <w:tcW w:w="99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34,157.5</w:t>
            </w:r>
          </w:p>
        </w:tc>
        <w:tc>
          <w:tcPr>
            <w:tcW w:w="99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39,314.5</w:t>
            </w:r>
          </w:p>
        </w:tc>
        <w:tc>
          <w:tcPr>
            <w:tcW w:w="1080" w:type="dxa"/>
            <w:tcBorders>
              <w:top w:val="single" w:sz="4" w:space="0" w:color="auto"/>
            </w:tcBorders>
            <w:noWrap/>
            <w:vAlign w:val="center"/>
            <w:hideMark/>
          </w:tcPr>
          <w:p w:rsidR="001601C1" w:rsidRPr="00877C7B" w:rsidRDefault="001601C1" w:rsidP="001601C1">
            <w:pPr>
              <w:pStyle w:val="NoSpacing"/>
              <w:jc w:val="center"/>
              <w:rPr>
                <w:rFonts w:eastAsia="Times New Roman" w:cstheme="minorHAnsi"/>
                <w:b/>
                <w:bCs/>
                <w:color w:val="000000"/>
                <w:sz w:val="18"/>
                <w:szCs w:val="18"/>
              </w:rPr>
            </w:pPr>
            <w:r w:rsidRPr="00877C7B">
              <w:rPr>
                <w:rFonts w:eastAsia="Times New Roman" w:cstheme="minorHAnsi"/>
                <w:b/>
                <w:bCs/>
                <w:color w:val="000000"/>
                <w:sz w:val="18"/>
                <w:szCs w:val="18"/>
              </w:rPr>
              <w:t>44,926.9</w:t>
            </w:r>
          </w:p>
        </w:tc>
      </w:tr>
    </w:tbl>
    <w:p w:rsidR="008E3542" w:rsidRPr="00877C7B" w:rsidRDefault="008E3542">
      <w:pPr>
        <w:rPr>
          <w:rFonts w:cstheme="minorHAnsi"/>
          <w:lang w:val="ka-GE"/>
        </w:rPr>
      </w:pPr>
    </w:p>
    <w:p w:rsidR="007B6E63" w:rsidRPr="00877C7B" w:rsidRDefault="003C31A8" w:rsidP="003C31A8">
      <w:pPr>
        <w:pStyle w:val="Heading1"/>
        <w:numPr>
          <w:ilvl w:val="1"/>
          <w:numId w:val="1"/>
        </w:numPr>
        <w:tabs>
          <w:tab w:val="left" w:pos="4950"/>
        </w:tabs>
        <w:rPr>
          <w:rFonts w:asciiTheme="minorHAnsi" w:hAnsiTheme="minorHAnsi" w:cstheme="minorHAnsi"/>
          <w:b/>
          <w:sz w:val="28"/>
        </w:rPr>
      </w:pPr>
      <w:r w:rsidRPr="00877C7B">
        <w:rPr>
          <w:rFonts w:asciiTheme="minorHAnsi" w:hAnsiTheme="minorHAnsi" w:cstheme="minorHAnsi"/>
          <w:b/>
          <w:sz w:val="28"/>
        </w:rPr>
        <w:t xml:space="preserve"> </w:t>
      </w:r>
      <w:bookmarkStart w:id="2" w:name="_Toc58952844"/>
      <w:r w:rsidR="001D7123" w:rsidRPr="00877C7B">
        <w:rPr>
          <w:rFonts w:asciiTheme="minorHAnsi" w:hAnsiTheme="minorHAnsi" w:cstheme="minorHAnsi"/>
          <w:b/>
          <w:sz w:val="28"/>
        </w:rPr>
        <w:t>Fiscal Framework</w:t>
      </w:r>
      <w:r w:rsidR="00CC0BC7" w:rsidRPr="00877C7B">
        <w:rPr>
          <w:rFonts w:asciiTheme="minorHAnsi" w:hAnsiTheme="minorHAnsi" w:cstheme="minorHAnsi"/>
          <w:b/>
          <w:sz w:val="28"/>
        </w:rPr>
        <w:t xml:space="preserve"> and the Plan to Return to the Limits Provided by the Fiscal R</w:t>
      </w:r>
      <w:r w:rsidR="003B3B55" w:rsidRPr="00877C7B">
        <w:rPr>
          <w:rFonts w:asciiTheme="minorHAnsi" w:hAnsiTheme="minorHAnsi" w:cstheme="minorHAnsi"/>
          <w:b/>
          <w:sz w:val="28"/>
        </w:rPr>
        <w:t>ules</w:t>
      </w:r>
      <w:bookmarkEnd w:id="2"/>
      <w:r w:rsidR="003B3B55" w:rsidRPr="00877C7B">
        <w:rPr>
          <w:rFonts w:asciiTheme="minorHAnsi" w:hAnsiTheme="minorHAnsi" w:cstheme="minorHAnsi"/>
          <w:b/>
          <w:sz w:val="28"/>
        </w:rPr>
        <w:t xml:space="preserve"> </w:t>
      </w:r>
    </w:p>
    <w:p w:rsidR="003B3B55" w:rsidRPr="00877C7B" w:rsidRDefault="00641E58" w:rsidP="00877C7B">
      <w:pPr>
        <w:pStyle w:val="Heading2"/>
        <w:numPr>
          <w:ilvl w:val="2"/>
          <w:numId w:val="1"/>
        </w:numPr>
        <w:spacing w:line="276" w:lineRule="auto"/>
        <w:rPr>
          <w:rFonts w:asciiTheme="minorHAnsi" w:hAnsiTheme="minorHAnsi" w:cstheme="minorHAnsi"/>
        </w:rPr>
      </w:pPr>
      <w:bookmarkStart w:id="3" w:name="_Toc58952845"/>
      <w:r w:rsidRPr="00877C7B">
        <w:rPr>
          <w:rFonts w:asciiTheme="minorHAnsi" w:hAnsiTheme="minorHAnsi" w:cstheme="minorHAnsi"/>
        </w:rPr>
        <w:t>C</w:t>
      </w:r>
      <w:r w:rsidR="00CC0BC7" w:rsidRPr="00877C7B">
        <w:rPr>
          <w:rFonts w:asciiTheme="minorHAnsi" w:hAnsiTheme="minorHAnsi" w:cstheme="minorHAnsi"/>
        </w:rPr>
        <w:t>omparing the Fiscal F</w:t>
      </w:r>
      <w:r w:rsidR="003B3B55" w:rsidRPr="00877C7B">
        <w:rPr>
          <w:rFonts w:asciiTheme="minorHAnsi" w:hAnsiTheme="minorHAnsi" w:cstheme="minorHAnsi"/>
        </w:rPr>
        <w:t>r</w:t>
      </w:r>
      <w:r w:rsidR="001C34E6" w:rsidRPr="00877C7B">
        <w:rPr>
          <w:rFonts w:asciiTheme="minorHAnsi" w:hAnsiTheme="minorHAnsi" w:cstheme="minorHAnsi"/>
        </w:rPr>
        <w:t>a</w:t>
      </w:r>
      <w:r w:rsidR="003B3B55" w:rsidRPr="00877C7B">
        <w:rPr>
          <w:rFonts w:asciiTheme="minorHAnsi" w:hAnsiTheme="minorHAnsi" w:cstheme="minorHAnsi"/>
        </w:rPr>
        <w:t>mework</w:t>
      </w:r>
      <w:bookmarkEnd w:id="3"/>
      <w:r w:rsidR="003B3B55" w:rsidRPr="00877C7B">
        <w:rPr>
          <w:rFonts w:asciiTheme="minorHAnsi" w:hAnsiTheme="minorHAnsi" w:cstheme="minorHAnsi"/>
        </w:rPr>
        <w:t xml:space="preserve"> </w:t>
      </w:r>
    </w:p>
    <w:p w:rsidR="00877C7B" w:rsidRPr="00877C7B" w:rsidRDefault="003D6EED" w:rsidP="00877C7B">
      <w:pPr>
        <w:spacing w:after="0" w:line="276" w:lineRule="auto"/>
        <w:ind w:firstLine="720"/>
        <w:jc w:val="both"/>
        <w:rPr>
          <w:rFonts w:cstheme="minorHAnsi"/>
        </w:rPr>
      </w:pPr>
      <w:r w:rsidRPr="00877C7B">
        <w:rPr>
          <w:rFonts w:cstheme="minorHAnsi"/>
        </w:rPr>
        <w:t>The medium-term parameters of 2020-2023 have been planned considering the forecasts of macroeconomic and fiscal parameters by the end of 2019. According</w:t>
      </w:r>
      <w:r w:rsidR="005B75B7" w:rsidRPr="00877C7B">
        <w:rPr>
          <w:rFonts w:cstheme="minorHAnsi"/>
        </w:rPr>
        <w:t xml:space="preserve"> </w:t>
      </w:r>
      <w:r w:rsidR="00500AE5" w:rsidRPr="00877C7B">
        <w:rPr>
          <w:rFonts w:cstheme="minorHAnsi"/>
        </w:rPr>
        <w:t xml:space="preserve">to </w:t>
      </w:r>
      <w:r w:rsidR="0067177F" w:rsidRPr="00877C7B">
        <w:rPr>
          <w:rFonts w:cstheme="minorHAnsi"/>
        </w:rPr>
        <w:t xml:space="preserve">these forecasts, consolidation policy of the current spending would be continued in the medium-term and the resources </w:t>
      </w:r>
      <w:r w:rsidR="00A838D1" w:rsidRPr="00877C7B">
        <w:rPr>
          <w:rFonts w:cstheme="minorHAnsi"/>
        </w:rPr>
        <w:t>were directed to the investment projects, educational reform and the social security measures. The forecasts of the current macroeconomic and fiscal parameters have been changed and corrected completely due to the new coronavirus (COVID-19)</w:t>
      </w:r>
      <w:r w:rsidR="00FD58BA" w:rsidRPr="00877C7B">
        <w:rPr>
          <w:rFonts w:cstheme="minorHAnsi"/>
        </w:rPr>
        <w:t xml:space="preserve"> pandemic</w:t>
      </w:r>
      <w:r w:rsidR="00A838D1" w:rsidRPr="00877C7B">
        <w:rPr>
          <w:rFonts w:cstheme="minorHAnsi"/>
        </w:rPr>
        <w:t xml:space="preserve">, and fiscal projections </w:t>
      </w:r>
      <w:r w:rsidR="00FD58BA" w:rsidRPr="00877C7B">
        <w:rPr>
          <w:rFonts w:cstheme="minorHAnsi"/>
        </w:rPr>
        <w:t>have been corrected for</w:t>
      </w:r>
      <w:r w:rsidR="00A838D1" w:rsidRPr="00877C7B">
        <w:rPr>
          <w:rFonts w:cstheme="minorHAnsi"/>
        </w:rPr>
        <w:t xml:space="preserve"> 2020</w:t>
      </w:r>
      <w:r w:rsidR="00500AE5" w:rsidRPr="00877C7B">
        <w:rPr>
          <w:rFonts w:cstheme="minorHAnsi"/>
        </w:rPr>
        <w:t>,</w:t>
      </w:r>
      <w:r w:rsidR="00A838D1" w:rsidRPr="00877C7B">
        <w:rPr>
          <w:rFonts w:cstheme="minorHAnsi"/>
        </w:rPr>
        <w:t xml:space="preserve"> as well as 2021-2024. </w:t>
      </w:r>
      <w:r w:rsidR="004D368C" w:rsidRPr="00877C7B">
        <w:rPr>
          <w:rFonts w:cstheme="minorHAnsi"/>
        </w:rPr>
        <w:t>An updated for</w:t>
      </w:r>
      <w:r w:rsidR="00500AE5" w:rsidRPr="00877C7B">
        <w:rPr>
          <w:rFonts w:cstheme="minorHAnsi"/>
        </w:rPr>
        <w:t>ecast</w:t>
      </w:r>
      <w:r w:rsidR="004D368C" w:rsidRPr="00877C7B">
        <w:rPr>
          <w:rFonts w:cstheme="minorHAnsi"/>
        </w:rPr>
        <w:t xml:space="preserve"> of 2021-2024 reflects post-crisis assumptions related the COVID-19, which considers measure</w:t>
      </w:r>
      <w:r w:rsidR="00C857A4" w:rsidRPr="00877C7B">
        <w:rPr>
          <w:rFonts w:cstheme="minorHAnsi"/>
        </w:rPr>
        <w:t>s</w:t>
      </w:r>
      <w:r w:rsidR="004D368C" w:rsidRPr="00877C7B">
        <w:rPr>
          <w:rFonts w:cstheme="minorHAnsi"/>
        </w:rPr>
        <w:t xml:space="preserve"> for fiscal policy stabilization in order to </w:t>
      </w:r>
      <w:r w:rsidR="009E0E41" w:rsidRPr="00877C7B">
        <w:rPr>
          <w:rFonts w:cstheme="minorHAnsi"/>
        </w:rPr>
        <w:t xml:space="preserve">maintain </w:t>
      </w:r>
      <w:r w:rsidR="00FD58BA" w:rsidRPr="00877C7B">
        <w:rPr>
          <w:rFonts w:cstheme="minorHAnsi"/>
        </w:rPr>
        <w:t xml:space="preserve">major </w:t>
      </w:r>
      <w:r w:rsidR="009E0E41" w:rsidRPr="00877C7B">
        <w:rPr>
          <w:rFonts w:cstheme="minorHAnsi"/>
        </w:rPr>
        <w:t xml:space="preserve">reforms and fiscal parameters to return to the limits </w:t>
      </w:r>
      <w:r w:rsidR="000D7C06" w:rsidRPr="00877C7B">
        <w:rPr>
          <w:rFonts w:cstheme="minorHAnsi"/>
        </w:rPr>
        <w:t xml:space="preserve">established by the law. </w:t>
      </w:r>
    </w:p>
    <w:p w:rsidR="00877C7B" w:rsidRPr="00877C7B" w:rsidRDefault="007F5E17" w:rsidP="00877C7B">
      <w:pPr>
        <w:spacing w:after="0" w:line="276" w:lineRule="auto"/>
        <w:ind w:firstLine="720"/>
        <w:jc w:val="both"/>
        <w:rPr>
          <w:rFonts w:cstheme="minorHAnsi"/>
        </w:rPr>
      </w:pPr>
      <w:r w:rsidRPr="00877C7B">
        <w:rPr>
          <w:rFonts w:cstheme="minorHAnsi"/>
        </w:rPr>
        <w:t xml:space="preserve">As mentioned above, the negative shock caused by the coronavirus has an impact on the Georgian economy, which is highly depended on the external factors. </w:t>
      </w:r>
      <w:r w:rsidR="006A41A4" w:rsidRPr="00877C7B">
        <w:rPr>
          <w:rFonts w:cstheme="minorHAnsi"/>
        </w:rPr>
        <w:t>The main economic parameters have been improving dur</w:t>
      </w:r>
      <w:r w:rsidR="00055055" w:rsidRPr="00877C7B">
        <w:rPr>
          <w:rFonts w:cstheme="minorHAnsi"/>
        </w:rPr>
        <w:t>ing the last three years, which appeared in 2019. In particular, economic growth was observed more than expected, at 5.</w:t>
      </w:r>
      <w:r w:rsidR="00FF671D" w:rsidRPr="00877C7B">
        <w:rPr>
          <w:rFonts w:cstheme="minorHAnsi"/>
          <w:lang w:val="ka-GE"/>
        </w:rPr>
        <w:t>0</w:t>
      </w:r>
      <w:r w:rsidR="00055055" w:rsidRPr="00877C7B">
        <w:rPr>
          <w:rFonts w:cstheme="minorHAnsi"/>
        </w:rPr>
        <w:t xml:space="preserve"> percent in 2019. Revenue from tourism amounted to USD 3.3 bln (18.4 percent of GDP), and revenue from export was USD 3.8 bln (21.2 percent of GDP), while net remittances amounted to USD 1.5 bln (8.4 percent of GDP). </w:t>
      </w:r>
      <w:r w:rsidR="00081D91" w:rsidRPr="00877C7B">
        <w:rPr>
          <w:rFonts w:cstheme="minorHAnsi"/>
        </w:rPr>
        <w:t>As a result, the current accoun</w:t>
      </w:r>
      <w:r w:rsidR="00500AE5" w:rsidRPr="00877C7B">
        <w:rPr>
          <w:rFonts w:cstheme="minorHAnsi"/>
        </w:rPr>
        <w:t>t</w:t>
      </w:r>
      <w:r w:rsidR="00081D91" w:rsidRPr="00877C7B">
        <w:rPr>
          <w:rFonts w:cstheme="minorHAnsi"/>
        </w:rPr>
        <w:t xml:space="preserve"> deficit reached its minimum level at 5.1 percent of GDP. Budget revenues increased more than expected d</w:t>
      </w:r>
      <w:r w:rsidR="00FD58BA" w:rsidRPr="00877C7B">
        <w:rPr>
          <w:rFonts w:cstheme="minorHAnsi"/>
        </w:rPr>
        <w:t>ue to the higher economic growth than expected</w:t>
      </w:r>
      <w:r w:rsidR="00081D91" w:rsidRPr="00877C7B">
        <w:rPr>
          <w:rFonts w:cstheme="minorHAnsi"/>
        </w:rPr>
        <w:t xml:space="preserve"> and improving the external sector data, which helped capital investments to exceed 8 percent of GDP and </w:t>
      </w:r>
      <w:r w:rsidR="00500AE5" w:rsidRPr="00877C7B">
        <w:rPr>
          <w:rFonts w:cstheme="minorHAnsi"/>
        </w:rPr>
        <w:t xml:space="preserve">the </w:t>
      </w:r>
      <w:r w:rsidR="00081D91" w:rsidRPr="00877C7B">
        <w:rPr>
          <w:rFonts w:cstheme="minorHAnsi"/>
        </w:rPr>
        <w:t xml:space="preserve">budget deficit (defined by the IMF program) to decline from planned 2.7 percent to 2.0 percent. </w:t>
      </w:r>
    </w:p>
    <w:p w:rsidR="00081D91" w:rsidRPr="00877C7B" w:rsidRDefault="00BF6E61" w:rsidP="00877C7B">
      <w:pPr>
        <w:spacing w:after="240" w:line="276" w:lineRule="auto"/>
        <w:ind w:firstLine="720"/>
        <w:jc w:val="both"/>
        <w:rPr>
          <w:rFonts w:cstheme="minorHAnsi"/>
        </w:rPr>
      </w:pPr>
      <w:r w:rsidRPr="00877C7B">
        <w:rPr>
          <w:rFonts w:cstheme="minorHAnsi"/>
        </w:rPr>
        <w:t>Shrinking of the economy and more spending related to managing the pandemic, ha</w:t>
      </w:r>
      <w:r w:rsidR="00500AE5" w:rsidRPr="00877C7B">
        <w:rPr>
          <w:rFonts w:cstheme="minorHAnsi"/>
        </w:rPr>
        <w:t>s</w:t>
      </w:r>
      <w:r w:rsidRPr="00877C7B">
        <w:rPr>
          <w:rFonts w:cstheme="minorHAnsi"/>
        </w:rPr>
        <w:t xml:space="preserve"> directly </w:t>
      </w:r>
      <w:r w:rsidR="007F16D0" w:rsidRPr="00877C7B">
        <w:rPr>
          <w:rFonts w:cstheme="minorHAnsi"/>
        </w:rPr>
        <w:t>reflected on the budget revenue</w:t>
      </w:r>
      <w:r w:rsidRPr="00877C7B">
        <w:rPr>
          <w:rFonts w:cstheme="minorHAnsi"/>
        </w:rPr>
        <w:t>, especially on the tax revenue</w:t>
      </w:r>
      <w:r w:rsidR="007F16D0" w:rsidRPr="00877C7B">
        <w:rPr>
          <w:rFonts w:cstheme="minorHAnsi"/>
        </w:rPr>
        <w:t>, and on the</w:t>
      </w:r>
      <w:r w:rsidRPr="00877C7B">
        <w:rPr>
          <w:rFonts w:cstheme="minorHAnsi"/>
        </w:rPr>
        <w:t xml:space="preserve"> expenditure side</w:t>
      </w:r>
      <w:r w:rsidR="007F16D0" w:rsidRPr="00877C7B">
        <w:rPr>
          <w:rFonts w:cstheme="minorHAnsi"/>
        </w:rPr>
        <w:t xml:space="preserve"> as well</w:t>
      </w:r>
      <w:r w:rsidRPr="00877C7B">
        <w:rPr>
          <w:rFonts w:cstheme="minorHAnsi"/>
        </w:rPr>
        <w:t xml:space="preserve">. </w:t>
      </w:r>
      <w:r w:rsidR="00B45226" w:rsidRPr="00877C7B">
        <w:rPr>
          <w:rFonts w:cstheme="minorHAnsi"/>
        </w:rPr>
        <w:t xml:space="preserve">As </w:t>
      </w:r>
      <w:r w:rsidR="00516B6F" w:rsidRPr="00877C7B">
        <w:rPr>
          <w:rFonts w:cstheme="minorHAnsi"/>
        </w:rPr>
        <w:t>there was a state of emergency from the 21</w:t>
      </w:r>
      <w:r w:rsidR="00516B6F" w:rsidRPr="00877C7B">
        <w:rPr>
          <w:rFonts w:cstheme="minorHAnsi"/>
          <w:vertAlign w:val="superscript"/>
        </w:rPr>
        <w:t>st</w:t>
      </w:r>
      <w:r w:rsidR="00500AE5" w:rsidRPr="00877C7B">
        <w:rPr>
          <w:rFonts w:cstheme="minorHAnsi"/>
        </w:rPr>
        <w:t xml:space="preserve"> of M</w:t>
      </w:r>
      <w:r w:rsidR="00516B6F" w:rsidRPr="00877C7B">
        <w:rPr>
          <w:rFonts w:cstheme="minorHAnsi"/>
        </w:rPr>
        <w:t>arch to 22</w:t>
      </w:r>
      <w:r w:rsidR="00516B6F" w:rsidRPr="00877C7B">
        <w:rPr>
          <w:rFonts w:cstheme="minorHAnsi"/>
          <w:vertAlign w:val="superscript"/>
        </w:rPr>
        <w:t>nd</w:t>
      </w:r>
      <w:r w:rsidR="00516B6F" w:rsidRPr="00877C7B">
        <w:rPr>
          <w:rFonts w:cstheme="minorHAnsi"/>
        </w:rPr>
        <w:t xml:space="preserve"> of May 2020, </w:t>
      </w:r>
      <w:r w:rsidR="00C467D8" w:rsidRPr="00877C7B">
        <w:rPr>
          <w:rFonts w:cstheme="minorHAnsi"/>
        </w:rPr>
        <w:t xml:space="preserve">part of the economic activities have been restricted, while there was a necessity of spending </w:t>
      </w:r>
      <w:r w:rsidR="00CB535E" w:rsidRPr="00877C7B">
        <w:rPr>
          <w:rFonts w:cstheme="minorHAnsi"/>
        </w:rPr>
        <w:t xml:space="preserve">on one hand, </w:t>
      </w:r>
      <w:r w:rsidR="00C467D8" w:rsidRPr="00877C7B">
        <w:rPr>
          <w:rFonts w:cstheme="minorHAnsi"/>
        </w:rPr>
        <w:t>in o</w:t>
      </w:r>
      <w:r w:rsidR="00500AE5" w:rsidRPr="00877C7B">
        <w:rPr>
          <w:rFonts w:cstheme="minorHAnsi"/>
        </w:rPr>
        <w:t>r</w:t>
      </w:r>
      <w:r w:rsidR="00C467D8" w:rsidRPr="00877C7B">
        <w:rPr>
          <w:rFonts w:cstheme="minorHAnsi"/>
        </w:rPr>
        <w:t xml:space="preserve">der to treat and diagnose infected people, and </w:t>
      </w:r>
      <w:r w:rsidR="00CB535E" w:rsidRPr="00877C7B">
        <w:rPr>
          <w:rFonts w:cstheme="minorHAnsi"/>
        </w:rPr>
        <w:t xml:space="preserve">several measures on the other hand, in order to make the social protection and the business support. </w:t>
      </w:r>
      <w:r w:rsidR="00C56F76" w:rsidRPr="00877C7B">
        <w:rPr>
          <w:rFonts w:cstheme="minorHAnsi"/>
        </w:rPr>
        <w:t>Spreading th</w:t>
      </w:r>
      <w:r w:rsidR="00500AE5" w:rsidRPr="00877C7B">
        <w:rPr>
          <w:rFonts w:cstheme="minorHAnsi"/>
        </w:rPr>
        <w:t>e virus has made an additional bu</w:t>
      </w:r>
      <w:r w:rsidR="00C56F76" w:rsidRPr="00877C7B">
        <w:rPr>
          <w:rFonts w:cstheme="minorHAnsi"/>
        </w:rPr>
        <w:t>r</w:t>
      </w:r>
      <w:r w:rsidR="00500AE5" w:rsidRPr="00877C7B">
        <w:rPr>
          <w:rFonts w:cstheme="minorHAnsi"/>
        </w:rPr>
        <w:t>d</w:t>
      </w:r>
      <w:r w:rsidR="00C56F76" w:rsidRPr="00877C7B">
        <w:rPr>
          <w:rFonts w:cstheme="minorHAnsi"/>
        </w:rPr>
        <w:t xml:space="preserve">en </w:t>
      </w:r>
      <w:r w:rsidR="00847420" w:rsidRPr="00877C7B">
        <w:rPr>
          <w:rFonts w:cstheme="minorHAnsi"/>
        </w:rPr>
        <w:t xml:space="preserve">for the economic activity as well as the fiscal policy </w:t>
      </w:r>
      <w:r w:rsidR="00EF60BC" w:rsidRPr="00877C7B">
        <w:rPr>
          <w:rFonts w:cstheme="minorHAnsi"/>
        </w:rPr>
        <w:t xml:space="preserve">from September 2020, </w:t>
      </w:r>
      <w:r w:rsidR="00847420" w:rsidRPr="00877C7B">
        <w:rPr>
          <w:rFonts w:cstheme="minorHAnsi"/>
        </w:rPr>
        <w:t xml:space="preserve">as there was a need </w:t>
      </w:r>
      <w:r w:rsidR="00500AE5" w:rsidRPr="00877C7B">
        <w:rPr>
          <w:rFonts w:cstheme="minorHAnsi"/>
        </w:rPr>
        <w:t>for the</w:t>
      </w:r>
      <w:r w:rsidR="00847420" w:rsidRPr="00877C7B">
        <w:rPr>
          <w:rFonts w:cstheme="minorHAnsi"/>
        </w:rPr>
        <w:t xml:space="preserve"> additional anti</w:t>
      </w:r>
      <w:r w:rsidR="00EF60BC" w:rsidRPr="00877C7B">
        <w:rPr>
          <w:rFonts w:cstheme="minorHAnsi"/>
        </w:rPr>
        <w:t>-</w:t>
      </w:r>
      <w:r w:rsidR="00847420" w:rsidRPr="00877C7B">
        <w:rPr>
          <w:rFonts w:cstheme="minorHAnsi"/>
        </w:rPr>
        <w:t xml:space="preserve">crisis package. </w:t>
      </w:r>
    </w:p>
    <w:p w:rsidR="00EF60BC" w:rsidRPr="00877C7B" w:rsidRDefault="00EF60BC" w:rsidP="00A838D1">
      <w:pPr>
        <w:jc w:val="both"/>
        <w:rPr>
          <w:rFonts w:cstheme="minorHAnsi"/>
        </w:rPr>
      </w:pPr>
    </w:p>
    <w:p w:rsidR="005C2194" w:rsidRPr="00877C7B" w:rsidRDefault="005C2194" w:rsidP="002B4F56">
      <w:pPr>
        <w:spacing w:line="276" w:lineRule="auto"/>
        <w:ind w:firstLine="567"/>
        <w:jc w:val="both"/>
        <w:rPr>
          <w:rFonts w:cstheme="minorHAnsi"/>
          <w:b/>
        </w:rPr>
      </w:pPr>
      <w:r w:rsidRPr="00877C7B">
        <w:rPr>
          <w:rFonts w:cstheme="minorHAnsi"/>
          <w:b/>
        </w:rPr>
        <w:t>The 1</w:t>
      </w:r>
      <w:r w:rsidRPr="00877C7B">
        <w:rPr>
          <w:rFonts w:cstheme="minorHAnsi"/>
          <w:b/>
          <w:vertAlign w:val="superscript"/>
        </w:rPr>
        <w:t>st</w:t>
      </w:r>
      <w:r w:rsidRPr="00877C7B">
        <w:rPr>
          <w:rFonts w:cstheme="minorHAnsi"/>
          <w:b/>
        </w:rPr>
        <w:t xml:space="preserve"> stage of COVI</w:t>
      </w:r>
      <w:r w:rsidR="00280D12" w:rsidRPr="00877C7B">
        <w:rPr>
          <w:rFonts w:cstheme="minorHAnsi"/>
          <w:b/>
        </w:rPr>
        <w:t>D</w:t>
      </w:r>
      <w:r w:rsidRPr="00877C7B">
        <w:rPr>
          <w:rFonts w:cstheme="minorHAnsi"/>
          <w:b/>
        </w:rPr>
        <w:t xml:space="preserve">-19 Pandemic Spread in Georgia and Fiscal Policy Response </w:t>
      </w:r>
    </w:p>
    <w:p w:rsidR="00877C7B" w:rsidRPr="00877C7B" w:rsidRDefault="005C2194" w:rsidP="00877C7B">
      <w:pPr>
        <w:spacing w:after="0" w:line="276" w:lineRule="auto"/>
        <w:ind w:firstLine="567"/>
        <w:jc w:val="both"/>
        <w:rPr>
          <w:rFonts w:cstheme="minorHAnsi"/>
        </w:rPr>
      </w:pPr>
      <w:r w:rsidRPr="00877C7B">
        <w:rPr>
          <w:rFonts w:cstheme="minorHAnsi"/>
        </w:rPr>
        <w:t>New micro-fiscal framework was negotiated with IMF during the elaboration of anti-crisis measures to the 1</w:t>
      </w:r>
      <w:r w:rsidRPr="00877C7B">
        <w:rPr>
          <w:rFonts w:cstheme="minorHAnsi"/>
          <w:vertAlign w:val="superscript"/>
        </w:rPr>
        <w:t>st</w:t>
      </w:r>
      <w:r w:rsidRPr="00877C7B">
        <w:rPr>
          <w:rFonts w:cstheme="minorHAnsi"/>
        </w:rPr>
        <w:t xml:space="preserve"> stage of COVID-19 pandemic spread in Georgia, which implied: (i) decline </w:t>
      </w:r>
      <w:r w:rsidR="005B348E" w:rsidRPr="00877C7B">
        <w:rPr>
          <w:rFonts w:cstheme="minorHAnsi"/>
        </w:rPr>
        <w:t>in revenues</w:t>
      </w:r>
      <w:r w:rsidRPr="00877C7B">
        <w:rPr>
          <w:rFonts w:cstheme="minorHAnsi"/>
        </w:rPr>
        <w:t xml:space="preserve"> of GEL</w:t>
      </w:r>
      <w:r w:rsidR="005B348E" w:rsidRPr="00877C7B">
        <w:rPr>
          <w:rFonts w:cstheme="minorHAnsi"/>
        </w:rPr>
        <w:t xml:space="preserve"> </w:t>
      </w:r>
      <w:r w:rsidRPr="00877C7B">
        <w:rPr>
          <w:rFonts w:cstheme="minorHAnsi"/>
        </w:rPr>
        <w:t>1</w:t>
      </w:r>
      <w:r w:rsidR="005B348E" w:rsidRPr="00877C7B">
        <w:rPr>
          <w:rFonts w:cstheme="minorHAnsi"/>
        </w:rPr>
        <w:t>.</w:t>
      </w:r>
      <w:r w:rsidRPr="00877C7B">
        <w:rPr>
          <w:rFonts w:cstheme="minorHAnsi"/>
        </w:rPr>
        <w:t>7 Billion as a result of economic slow-down; (ii) mobilizing GEL600 million through cuts and savings in pre-COVID-19 Budget current and capital spending and (iii) mobilizing additional GEL</w:t>
      </w:r>
      <w:r w:rsidR="005B348E" w:rsidRPr="00877C7B">
        <w:rPr>
          <w:rFonts w:cstheme="minorHAnsi"/>
        </w:rPr>
        <w:t xml:space="preserve"> </w:t>
      </w:r>
      <w:r w:rsidRPr="00877C7B">
        <w:rPr>
          <w:rFonts w:cstheme="minorHAnsi"/>
        </w:rPr>
        <w:t xml:space="preserve">3.4 billion </w:t>
      </w:r>
      <w:r w:rsidR="005B348E" w:rsidRPr="00877C7B">
        <w:rPr>
          <w:rFonts w:cstheme="minorHAnsi"/>
        </w:rPr>
        <w:t xml:space="preserve">to finance COVID-19 anti-crisis plan. As a result the 2020 Budget deficit projection was increased to 8.5% and related amendment to </w:t>
      </w:r>
      <w:r w:rsidR="00877C7B" w:rsidRPr="00877C7B">
        <w:rPr>
          <w:rFonts w:cstheme="minorHAnsi"/>
        </w:rPr>
        <w:t xml:space="preserve">2020 Budget Law were prepared. </w:t>
      </w:r>
    </w:p>
    <w:p w:rsidR="00877C7B" w:rsidRPr="00877C7B" w:rsidRDefault="005B348E" w:rsidP="00877C7B">
      <w:pPr>
        <w:spacing w:after="0" w:line="276" w:lineRule="auto"/>
        <w:ind w:firstLine="567"/>
        <w:jc w:val="both"/>
        <w:rPr>
          <w:rFonts w:cstheme="minorHAnsi"/>
        </w:rPr>
      </w:pPr>
      <w:r w:rsidRPr="00877C7B">
        <w:rPr>
          <w:rFonts w:cstheme="minorHAnsi"/>
        </w:rPr>
        <w:t xml:space="preserve">In order to partially compensate for the increased deficit Government has limited spending within the original budget </w:t>
      </w:r>
      <w:r w:rsidR="001203DB" w:rsidRPr="00877C7B">
        <w:rPr>
          <w:rFonts w:cstheme="minorHAnsi"/>
        </w:rPr>
        <w:t xml:space="preserve">starting </w:t>
      </w:r>
      <w:r w:rsidRPr="00877C7B">
        <w:rPr>
          <w:rFonts w:cstheme="minorHAnsi"/>
        </w:rPr>
        <w:t>from March, 2020</w:t>
      </w:r>
      <w:r w:rsidR="001203DB" w:rsidRPr="00877C7B">
        <w:rPr>
          <w:rFonts w:cstheme="minorHAnsi"/>
        </w:rPr>
        <w:t xml:space="preserve">. Operational and representative costs as well </w:t>
      </w:r>
      <w:r w:rsidR="00E46C62" w:rsidRPr="00877C7B">
        <w:rPr>
          <w:rFonts w:cstheme="minorHAnsi"/>
        </w:rPr>
        <w:t xml:space="preserve">as </w:t>
      </w:r>
      <w:r w:rsidR="001203DB" w:rsidRPr="00877C7B">
        <w:rPr>
          <w:rFonts w:cstheme="minorHAnsi"/>
        </w:rPr>
        <w:t>business trips (</w:t>
      </w:r>
      <w:r w:rsidR="00A42A9E" w:rsidRPr="00877C7B">
        <w:rPr>
          <w:rFonts w:cstheme="minorHAnsi"/>
        </w:rPr>
        <w:t xml:space="preserve">excluding special services) were limited, significant </w:t>
      </w:r>
      <w:r w:rsidR="00E46C62" w:rsidRPr="00877C7B">
        <w:rPr>
          <w:rFonts w:cstheme="minorHAnsi"/>
        </w:rPr>
        <w:t>limitations were introduced for transpor</w:t>
      </w:r>
      <w:r w:rsidR="00372AA9" w:rsidRPr="00877C7B">
        <w:rPr>
          <w:rFonts w:cstheme="minorHAnsi"/>
        </w:rPr>
        <w:t>t</w:t>
      </w:r>
      <w:r w:rsidR="00E46C62" w:rsidRPr="00877C7B">
        <w:rPr>
          <w:rFonts w:cstheme="minorHAnsi"/>
        </w:rPr>
        <w:t xml:space="preserve">ation costs and bonus payments, even filling in for vacant positions was paused. </w:t>
      </w:r>
      <w:r w:rsidR="00C70804" w:rsidRPr="00877C7B">
        <w:rPr>
          <w:rFonts w:cstheme="minorHAnsi"/>
        </w:rPr>
        <w:t>All the programs possible to delay or cancel without jeopardizing the sector were postponed and some were delayed naturally due to the</w:t>
      </w:r>
      <w:r w:rsidR="0087182B" w:rsidRPr="00877C7B">
        <w:rPr>
          <w:rFonts w:cstheme="minorHAnsi"/>
        </w:rPr>
        <w:t xml:space="preserve"> physical</w:t>
      </w:r>
      <w:r w:rsidR="00C70804" w:rsidRPr="00877C7B">
        <w:rPr>
          <w:rFonts w:cstheme="minorHAnsi"/>
        </w:rPr>
        <w:t xml:space="preserve"> con</w:t>
      </w:r>
      <w:r w:rsidR="0087182B" w:rsidRPr="00877C7B">
        <w:rPr>
          <w:rFonts w:cstheme="minorHAnsi"/>
        </w:rPr>
        <w:t>straints app</w:t>
      </w:r>
      <w:r w:rsidR="00E87B57" w:rsidRPr="00877C7B">
        <w:rPr>
          <w:rFonts w:cstheme="minorHAnsi"/>
        </w:rPr>
        <w:t>lied to limit the spread of the virus (e.g. cultural, sports events and tourism related events)</w:t>
      </w:r>
      <w:r w:rsidR="00C70804" w:rsidRPr="00877C7B">
        <w:rPr>
          <w:rFonts w:cstheme="minorHAnsi"/>
        </w:rPr>
        <w:t>.</w:t>
      </w:r>
      <w:r w:rsidR="00E87B57" w:rsidRPr="00877C7B">
        <w:rPr>
          <w:rFonts w:cstheme="minorHAnsi"/>
        </w:rPr>
        <w:t xml:space="preserve"> Plans for the 2020 activities under Education Reform were also reviewed. Investment projects were also reviewed to delay the projects related to tourism infrastructure or the ones with intensive import components. As a result the total enveloped freed from spending of the pre-COVID-19 Budget amounted to GEL 600 million</w:t>
      </w:r>
      <w:r w:rsidR="002B4F56" w:rsidRPr="00877C7B">
        <w:rPr>
          <w:rFonts w:cstheme="minorHAnsi"/>
          <w:lang w:val="ka-GE"/>
        </w:rPr>
        <w:t xml:space="preserve">. </w:t>
      </w:r>
    </w:p>
    <w:p w:rsidR="002B4F56" w:rsidRPr="00877C7B" w:rsidRDefault="00E87B57" w:rsidP="00877C7B">
      <w:pPr>
        <w:spacing w:line="276" w:lineRule="auto"/>
        <w:ind w:firstLine="567"/>
        <w:jc w:val="both"/>
        <w:rPr>
          <w:rFonts w:cstheme="minorHAnsi"/>
        </w:rPr>
      </w:pPr>
      <w:r w:rsidRPr="00877C7B">
        <w:rPr>
          <w:rFonts w:cstheme="minorHAnsi"/>
        </w:rPr>
        <w:t xml:space="preserve">Since the spread of pandemic affected negatively the commercial sector as such and citizens in general resources had to be mobilized to provide Georgian citizens and private sector with direct assistance. Resources were needed to prevent extreme spread of pandemic and to cover the healthcare costs of </w:t>
      </w:r>
      <w:r w:rsidR="00444CD7" w:rsidRPr="00877C7B">
        <w:rPr>
          <w:rFonts w:cstheme="minorHAnsi"/>
        </w:rPr>
        <w:t>Covid-19 case management. Total estimated cost for the anti-crisis measures amounted to GEL</w:t>
      </w:r>
      <w:r w:rsidR="002B4F56" w:rsidRPr="00877C7B">
        <w:rPr>
          <w:rFonts w:cstheme="minorHAnsi"/>
          <w:lang w:val="ka-GE"/>
        </w:rPr>
        <w:t xml:space="preserve"> 3.4 </w:t>
      </w:r>
      <w:r w:rsidR="00444CD7" w:rsidRPr="00877C7B">
        <w:rPr>
          <w:rFonts w:cstheme="minorHAnsi"/>
        </w:rPr>
        <w:t>billion</w:t>
      </w:r>
      <w:r w:rsidR="00EF1E86" w:rsidRPr="00877C7B">
        <w:rPr>
          <w:rFonts w:cstheme="minorHAnsi"/>
        </w:rPr>
        <w:t xml:space="preserve"> and relevant allocations were envisaged in the Budget amendment</w:t>
      </w:r>
      <w:r w:rsidR="002B4F56" w:rsidRPr="00877C7B">
        <w:rPr>
          <w:rFonts w:cstheme="minorHAnsi"/>
          <w:lang w:val="ka-GE"/>
        </w:rPr>
        <w:t>:</w:t>
      </w:r>
    </w:p>
    <w:p w:rsidR="002B4F56" w:rsidRPr="00877C7B" w:rsidRDefault="00EF1E86" w:rsidP="002B4F56">
      <w:pPr>
        <w:pStyle w:val="ListParagraph"/>
        <w:numPr>
          <w:ilvl w:val="0"/>
          <w:numId w:val="5"/>
        </w:numPr>
        <w:spacing w:after="0" w:line="276" w:lineRule="auto"/>
        <w:ind w:left="851"/>
        <w:jc w:val="both"/>
        <w:rPr>
          <w:rFonts w:cstheme="minorHAnsi"/>
          <w:lang w:val="ka-GE"/>
        </w:rPr>
      </w:pPr>
      <w:r w:rsidRPr="00877C7B">
        <w:rPr>
          <w:rFonts w:cstheme="minorHAnsi"/>
        </w:rPr>
        <w:t xml:space="preserve">Healthcare and quarantine costs for </w:t>
      </w:r>
      <w:r w:rsidR="002B4F56" w:rsidRPr="00877C7B">
        <w:rPr>
          <w:rFonts w:cstheme="minorHAnsi"/>
        </w:rPr>
        <w:t>COVID-19</w:t>
      </w:r>
      <w:r w:rsidRPr="00877C7B">
        <w:rPr>
          <w:rFonts w:cstheme="minorHAnsi"/>
        </w:rPr>
        <w:t xml:space="preserve"> case management; </w:t>
      </w:r>
    </w:p>
    <w:p w:rsidR="002B4F56" w:rsidRPr="00877C7B" w:rsidRDefault="00EF1E86" w:rsidP="002B4F56">
      <w:pPr>
        <w:pStyle w:val="ListParagraph"/>
        <w:numPr>
          <w:ilvl w:val="0"/>
          <w:numId w:val="5"/>
        </w:numPr>
        <w:spacing w:after="0" w:line="276" w:lineRule="auto"/>
        <w:ind w:left="851"/>
        <w:jc w:val="both"/>
        <w:rPr>
          <w:rFonts w:cstheme="minorHAnsi"/>
          <w:lang w:val="ka-GE"/>
        </w:rPr>
      </w:pPr>
      <w:r w:rsidRPr="00877C7B">
        <w:rPr>
          <w:rFonts w:cstheme="minorHAnsi"/>
        </w:rPr>
        <w:t xml:space="preserve">Social benefits for socially vulnerable people (including subsidizing utility bills and social benefits for children) </w:t>
      </w:r>
    </w:p>
    <w:p w:rsidR="002B4F56" w:rsidRPr="00877C7B" w:rsidRDefault="00EF1E86" w:rsidP="002B4F56">
      <w:pPr>
        <w:pStyle w:val="ListParagraph"/>
        <w:numPr>
          <w:ilvl w:val="0"/>
          <w:numId w:val="5"/>
        </w:numPr>
        <w:spacing w:after="0" w:line="276" w:lineRule="auto"/>
        <w:ind w:left="851"/>
        <w:jc w:val="both"/>
        <w:rPr>
          <w:rFonts w:cstheme="minorHAnsi"/>
          <w:lang w:val="ka-GE"/>
        </w:rPr>
      </w:pPr>
      <w:r w:rsidRPr="00877C7B">
        <w:rPr>
          <w:rFonts w:cstheme="minorHAnsi"/>
        </w:rPr>
        <w:t xml:space="preserve">Benefits for employees who lost jobs and employers supporting job retention; </w:t>
      </w:r>
    </w:p>
    <w:p w:rsidR="002B4F56" w:rsidRPr="00877C7B" w:rsidRDefault="00EF1E86" w:rsidP="00201945">
      <w:pPr>
        <w:pStyle w:val="ListParagraph"/>
        <w:numPr>
          <w:ilvl w:val="0"/>
          <w:numId w:val="5"/>
        </w:numPr>
        <w:spacing w:after="0" w:line="276" w:lineRule="auto"/>
        <w:ind w:left="851"/>
        <w:jc w:val="both"/>
        <w:rPr>
          <w:rFonts w:cstheme="minorHAnsi"/>
          <w:lang w:val="ka-GE"/>
        </w:rPr>
      </w:pPr>
      <w:r w:rsidRPr="00877C7B">
        <w:rPr>
          <w:rFonts w:cstheme="minorHAnsi"/>
        </w:rPr>
        <w:t xml:space="preserve">Subsidies </w:t>
      </w:r>
      <w:r w:rsidR="00B87C65" w:rsidRPr="00877C7B">
        <w:rPr>
          <w:rFonts w:cstheme="minorHAnsi"/>
        </w:rPr>
        <w:t xml:space="preserve">and different financial instruments </w:t>
      </w:r>
      <w:r w:rsidRPr="00877C7B">
        <w:rPr>
          <w:rFonts w:cstheme="minorHAnsi"/>
        </w:rPr>
        <w:t>to support business activities</w:t>
      </w:r>
      <w:r w:rsidR="00877C7B" w:rsidRPr="00877C7B">
        <w:rPr>
          <w:rFonts w:cstheme="minorHAnsi"/>
        </w:rPr>
        <w:t>.</w:t>
      </w:r>
    </w:p>
    <w:p w:rsidR="00877C7B" w:rsidRPr="00877C7B" w:rsidRDefault="00877C7B" w:rsidP="00CA14C9">
      <w:pPr>
        <w:ind w:firstLine="270"/>
        <w:rPr>
          <w:rFonts w:cstheme="minorHAnsi"/>
          <w:b/>
          <w:bCs/>
          <w:noProof/>
          <w:sz w:val="20"/>
        </w:rPr>
      </w:pPr>
    </w:p>
    <w:p w:rsidR="002B4F56" w:rsidRPr="00877C7B" w:rsidRDefault="00B87C65" w:rsidP="00CA14C9">
      <w:pPr>
        <w:ind w:firstLine="270"/>
        <w:rPr>
          <w:rFonts w:cstheme="minorHAnsi"/>
          <w:b/>
          <w:bCs/>
          <w:noProof/>
          <w:sz w:val="20"/>
        </w:rPr>
      </w:pPr>
      <w:r w:rsidRPr="00877C7B">
        <w:rPr>
          <w:rFonts w:cstheme="minorHAnsi"/>
          <w:b/>
          <w:bCs/>
          <w:noProof/>
          <w:sz w:val="20"/>
        </w:rPr>
        <w:t>Table #</w:t>
      </w:r>
      <w:r w:rsidR="002B4F56" w:rsidRPr="00877C7B">
        <w:rPr>
          <w:rFonts w:cstheme="minorHAnsi"/>
          <w:b/>
          <w:bCs/>
          <w:noProof/>
          <w:sz w:val="20"/>
          <w:lang w:val="ka-GE"/>
        </w:rPr>
        <w:t xml:space="preserve">7 - 2020 </w:t>
      </w:r>
      <w:r w:rsidRPr="00877C7B">
        <w:rPr>
          <w:rFonts w:cstheme="minorHAnsi"/>
          <w:b/>
          <w:bCs/>
          <w:noProof/>
          <w:sz w:val="20"/>
        </w:rPr>
        <w:t xml:space="preserve">Consolidated Budget (excluding Public borrowing and donor grants) </w:t>
      </w:r>
    </w:p>
    <w:p w:rsidR="002B4F56" w:rsidRPr="00877C7B" w:rsidRDefault="00B87C65"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Theme="minorHAnsi" w:hAnsiTheme="minorHAnsi" w:cstheme="minorHAnsi"/>
          <w:b/>
          <w:bCs/>
          <w:noProof/>
          <w:sz w:val="20"/>
          <w:szCs w:val="22"/>
          <w:lang w:val="ka-GE"/>
        </w:rPr>
      </w:pPr>
      <w:r w:rsidRPr="00877C7B">
        <w:rPr>
          <w:rFonts w:asciiTheme="minorHAnsi" w:hAnsiTheme="minorHAnsi" w:cstheme="minorHAnsi"/>
          <w:b/>
          <w:bCs/>
          <w:noProof/>
          <w:sz w:val="20"/>
          <w:szCs w:val="22"/>
          <w:lang w:val="en-US"/>
        </w:rPr>
        <w:t>(Million GEL</w:t>
      </w:r>
      <w:r w:rsidR="002B4F56" w:rsidRPr="00877C7B">
        <w:rPr>
          <w:rFonts w:asciiTheme="minorHAnsi" w:hAnsiTheme="minorHAnsi" w:cstheme="minorHAnsi"/>
          <w:b/>
          <w:bCs/>
          <w:noProof/>
          <w:sz w:val="20"/>
          <w:szCs w:val="22"/>
          <w:lang w:val="ka-GE"/>
        </w:rPr>
        <w:t>)</w:t>
      </w:r>
    </w:p>
    <w:p w:rsidR="002B4F56" w:rsidRPr="00877C7B" w:rsidRDefault="002B4F56"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sz w:val="20"/>
          <w:szCs w:val="22"/>
          <w:lang w:val="ka-GE"/>
        </w:rPr>
      </w:pPr>
    </w:p>
    <w:tbl>
      <w:tblPr>
        <w:tblW w:w="514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199"/>
        <w:gridCol w:w="1643"/>
        <w:gridCol w:w="1262"/>
        <w:gridCol w:w="1887"/>
        <w:gridCol w:w="1397"/>
        <w:gridCol w:w="1494"/>
      </w:tblGrid>
      <w:tr w:rsidR="002B4F56" w:rsidRPr="00877C7B" w:rsidTr="00552D21">
        <w:trPr>
          <w:trHeight w:val="113"/>
          <w:tblHeader/>
        </w:trPr>
        <w:tc>
          <w:tcPr>
            <w:tcW w:w="1112" w:type="pct"/>
            <w:shd w:val="clear" w:color="auto" w:fill="auto"/>
            <w:vAlign w:val="center"/>
            <w:hideMark/>
          </w:tcPr>
          <w:p w:rsidR="002B4F56" w:rsidRPr="00877C7B" w:rsidRDefault="00B87C65"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Title</w:t>
            </w:r>
          </w:p>
        </w:tc>
        <w:tc>
          <w:tcPr>
            <w:tcW w:w="831" w:type="pct"/>
            <w:shd w:val="clear" w:color="auto" w:fill="auto"/>
            <w:vAlign w:val="center"/>
            <w:hideMark/>
          </w:tcPr>
          <w:p w:rsidR="002B4F56" w:rsidRPr="00877C7B" w:rsidRDefault="00B87C65"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Original Plan</w:t>
            </w:r>
          </w:p>
        </w:tc>
        <w:tc>
          <w:tcPr>
            <w:tcW w:w="638" w:type="pct"/>
            <w:shd w:val="clear" w:color="auto" w:fill="auto"/>
            <w:vAlign w:val="center"/>
            <w:hideMark/>
          </w:tcPr>
          <w:p w:rsidR="002B4F56" w:rsidRPr="00877C7B" w:rsidRDefault="00B87C65" w:rsidP="002B4F56">
            <w:pPr>
              <w:spacing w:after="0" w:line="240" w:lineRule="auto"/>
              <w:jc w:val="center"/>
              <w:rPr>
                <w:rFonts w:eastAsia="Times New Roman" w:cstheme="minorHAnsi"/>
                <w:b/>
                <w:bCs/>
                <w:color w:val="000000"/>
                <w:sz w:val="20"/>
                <w:szCs w:val="20"/>
                <w:lang w:val="ka-GE"/>
              </w:rPr>
            </w:pPr>
            <w:r w:rsidRPr="00877C7B">
              <w:rPr>
                <w:rFonts w:eastAsia="Times New Roman" w:cstheme="minorHAnsi"/>
                <w:b/>
                <w:bCs/>
                <w:color w:val="000000"/>
                <w:sz w:val="20"/>
                <w:szCs w:val="20"/>
              </w:rPr>
              <w:t>Loss due to Economic Slow-down</w:t>
            </w:r>
          </w:p>
        </w:tc>
        <w:tc>
          <w:tcPr>
            <w:tcW w:w="955" w:type="pct"/>
            <w:shd w:val="clear" w:color="auto" w:fill="auto"/>
            <w:vAlign w:val="center"/>
          </w:tcPr>
          <w:p w:rsidR="002B4F56" w:rsidRPr="00877C7B" w:rsidRDefault="00B87C65"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Loss due anti-crisis measures</w:t>
            </w:r>
          </w:p>
        </w:tc>
        <w:tc>
          <w:tcPr>
            <w:tcW w:w="707" w:type="pct"/>
          </w:tcPr>
          <w:p w:rsidR="002B4F56" w:rsidRPr="00877C7B" w:rsidRDefault="00B87C65" w:rsidP="002B4F56">
            <w:pPr>
              <w:spacing w:after="0" w:line="240" w:lineRule="auto"/>
              <w:jc w:val="center"/>
              <w:rPr>
                <w:rFonts w:eastAsia="Times New Roman" w:cstheme="minorHAnsi"/>
                <w:b/>
                <w:bCs/>
                <w:color w:val="000000"/>
                <w:sz w:val="20"/>
                <w:szCs w:val="20"/>
                <w:lang w:val="ka-GE"/>
              </w:rPr>
            </w:pPr>
            <w:r w:rsidRPr="00877C7B">
              <w:rPr>
                <w:rFonts w:eastAsia="Times New Roman" w:cstheme="minorHAnsi"/>
                <w:b/>
                <w:bCs/>
                <w:color w:val="000000"/>
                <w:sz w:val="20"/>
                <w:szCs w:val="20"/>
              </w:rPr>
              <w:t>Additional Resources</w:t>
            </w:r>
            <w:r w:rsidR="002B4F56" w:rsidRPr="00877C7B">
              <w:rPr>
                <w:rStyle w:val="FootnoteReference"/>
                <w:rFonts w:cstheme="minorHAnsi"/>
                <w:b/>
                <w:bCs/>
                <w:sz w:val="20"/>
                <w:szCs w:val="20"/>
              </w:rPr>
              <w:footnoteReference w:id="2"/>
            </w:r>
          </w:p>
        </w:tc>
        <w:tc>
          <w:tcPr>
            <w:tcW w:w="756" w:type="pct"/>
          </w:tcPr>
          <w:p w:rsidR="002B4F56" w:rsidRPr="00877C7B" w:rsidRDefault="00B87C65"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Adjusted Projection</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Taxes</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12 305,0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-1 545,0</w:t>
            </w:r>
          </w:p>
        </w:tc>
        <w:tc>
          <w:tcPr>
            <w:tcW w:w="955" w:type="pct"/>
            <w:shd w:val="clear" w:color="auto" w:fill="auto"/>
          </w:tcPr>
          <w:p w:rsidR="002B4F56" w:rsidRPr="00877C7B" w:rsidRDefault="002B4F56" w:rsidP="002B4F56">
            <w:pPr>
              <w:jc w:val="center"/>
              <w:rPr>
                <w:rFonts w:cstheme="minorHAnsi"/>
                <w:sz w:val="20"/>
                <w:szCs w:val="20"/>
              </w:rPr>
            </w:pPr>
            <w:r w:rsidRPr="00877C7B">
              <w:rPr>
                <w:rFonts w:cstheme="minorHAnsi"/>
                <w:sz w:val="20"/>
                <w:szCs w:val="20"/>
              </w:rPr>
              <w:t>-250,0</w:t>
            </w:r>
          </w:p>
        </w:tc>
        <w:tc>
          <w:tcPr>
            <w:tcW w:w="707" w:type="pct"/>
          </w:tcPr>
          <w:p w:rsidR="002B4F56" w:rsidRPr="00877C7B" w:rsidRDefault="002B4F56" w:rsidP="002B4F56">
            <w:pPr>
              <w:spacing w:after="0" w:line="240" w:lineRule="auto"/>
              <w:jc w:val="both"/>
              <w:rPr>
                <w:rFonts w:eastAsia="Times New Roman" w:cstheme="minorHAnsi"/>
                <w:color w:val="000000"/>
                <w:sz w:val="20"/>
                <w:szCs w:val="20"/>
              </w:rPr>
            </w:pPr>
          </w:p>
        </w:tc>
        <w:tc>
          <w:tcPr>
            <w:tcW w:w="756" w:type="pct"/>
          </w:tcPr>
          <w:p w:rsidR="002B4F56" w:rsidRPr="00877C7B" w:rsidRDefault="002B4F56" w:rsidP="002B4F56">
            <w:pPr>
              <w:jc w:val="center"/>
              <w:rPr>
                <w:rFonts w:cstheme="minorHAnsi"/>
                <w:sz w:val="20"/>
                <w:szCs w:val="20"/>
              </w:rPr>
            </w:pPr>
            <w:r w:rsidRPr="00877C7B">
              <w:rPr>
                <w:rFonts w:cstheme="minorHAnsi"/>
                <w:sz w:val="20"/>
                <w:szCs w:val="20"/>
              </w:rPr>
              <w:t>10 510,0</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Grants</w:t>
            </w:r>
            <w:r w:rsidR="002B4F56" w:rsidRPr="00877C7B">
              <w:rPr>
                <w:rFonts w:eastAsia="Times New Roman" w:cstheme="minorHAnsi"/>
                <w:color w:val="000000"/>
                <w:sz w:val="20"/>
                <w:szCs w:val="20"/>
                <w:lang w:val="ka-GE"/>
              </w:rPr>
              <w:t xml:space="preserve"> </w:t>
            </w:r>
            <w:r w:rsidRPr="00877C7B">
              <w:rPr>
                <w:rFonts w:eastAsia="Times New Roman" w:cstheme="minorHAnsi"/>
                <w:color w:val="000000"/>
                <w:sz w:val="20"/>
                <w:szCs w:val="20"/>
              </w:rPr>
              <w:t>(only from LEPLs)</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65,0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-15,0</w:t>
            </w:r>
          </w:p>
        </w:tc>
        <w:tc>
          <w:tcPr>
            <w:tcW w:w="955" w:type="pct"/>
            <w:shd w:val="clear" w:color="auto" w:fill="auto"/>
          </w:tcPr>
          <w:p w:rsidR="002B4F56" w:rsidRPr="00877C7B" w:rsidRDefault="002B4F56" w:rsidP="002B4F56">
            <w:pPr>
              <w:jc w:val="center"/>
              <w:rPr>
                <w:rFonts w:cstheme="minorHAnsi"/>
                <w:sz w:val="20"/>
                <w:szCs w:val="20"/>
              </w:rPr>
            </w:pPr>
          </w:p>
        </w:tc>
        <w:tc>
          <w:tcPr>
            <w:tcW w:w="707" w:type="pct"/>
          </w:tcPr>
          <w:p w:rsidR="002B4F56" w:rsidRPr="00877C7B" w:rsidRDefault="002B4F56" w:rsidP="002B4F56">
            <w:pPr>
              <w:spacing w:after="0" w:line="240" w:lineRule="auto"/>
              <w:jc w:val="both"/>
              <w:rPr>
                <w:rFonts w:eastAsia="Times New Roman" w:cstheme="minorHAnsi"/>
                <w:color w:val="000000"/>
                <w:sz w:val="20"/>
                <w:szCs w:val="20"/>
              </w:rPr>
            </w:pPr>
          </w:p>
        </w:tc>
        <w:tc>
          <w:tcPr>
            <w:tcW w:w="756" w:type="pct"/>
          </w:tcPr>
          <w:p w:rsidR="002B4F56" w:rsidRPr="00877C7B" w:rsidRDefault="002B4F56" w:rsidP="002B4F56">
            <w:pPr>
              <w:jc w:val="center"/>
              <w:rPr>
                <w:rFonts w:cstheme="minorHAnsi"/>
                <w:sz w:val="20"/>
                <w:szCs w:val="20"/>
              </w:rPr>
            </w:pPr>
            <w:r w:rsidRPr="00877C7B">
              <w:rPr>
                <w:rFonts w:cstheme="minorHAnsi"/>
                <w:sz w:val="20"/>
                <w:szCs w:val="20"/>
              </w:rPr>
              <w:t>50,0</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Other Revenue</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990,0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-137,0</w:t>
            </w:r>
          </w:p>
        </w:tc>
        <w:tc>
          <w:tcPr>
            <w:tcW w:w="955" w:type="pct"/>
            <w:shd w:val="clear" w:color="auto" w:fill="auto"/>
          </w:tcPr>
          <w:p w:rsidR="002B4F56" w:rsidRPr="00877C7B" w:rsidRDefault="002B4F56" w:rsidP="002B4F56">
            <w:pPr>
              <w:jc w:val="center"/>
              <w:rPr>
                <w:rFonts w:cstheme="minorHAnsi"/>
                <w:sz w:val="20"/>
                <w:szCs w:val="20"/>
              </w:rPr>
            </w:pPr>
          </w:p>
        </w:tc>
        <w:tc>
          <w:tcPr>
            <w:tcW w:w="707" w:type="pct"/>
          </w:tcPr>
          <w:p w:rsidR="002B4F56" w:rsidRPr="00877C7B" w:rsidRDefault="002B4F56" w:rsidP="002B4F56">
            <w:pPr>
              <w:jc w:val="center"/>
              <w:rPr>
                <w:rFonts w:cstheme="minorHAnsi"/>
                <w:sz w:val="20"/>
                <w:szCs w:val="20"/>
              </w:rPr>
            </w:pPr>
            <w:r w:rsidRPr="00877C7B">
              <w:rPr>
                <w:rFonts w:cstheme="minorHAnsi"/>
                <w:sz w:val="20"/>
                <w:szCs w:val="20"/>
              </w:rPr>
              <w:t>187,0</w:t>
            </w:r>
          </w:p>
        </w:tc>
        <w:tc>
          <w:tcPr>
            <w:tcW w:w="756" w:type="pct"/>
          </w:tcPr>
          <w:p w:rsidR="002B4F56" w:rsidRPr="00877C7B" w:rsidRDefault="002B4F56" w:rsidP="002B4F56">
            <w:pPr>
              <w:jc w:val="center"/>
              <w:rPr>
                <w:rFonts w:cstheme="minorHAnsi"/>
                <w:sz w:val="20"/>
                <w:szCs w:val="20"/>
              </w:rPr>
            </w:pPr>
            <w:r w:rsidRPr="00877C7B">
              <w:rPr>
                <w:rFonts w:cstheme="minorHAnsi"/>
                <w:sz w:val="20"/>
                <w:szCs w:val="20"/>
              </w:rPr>
              <w:t>1 040,0</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Privatization</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230,0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-80,0</w:t>
            </w:r>
          </w:p>
        </w:tc>
        <w:tc>
          <w:tcPr>
            <w:tcW w:w="955" w:type="pct"/>
            <w:shd w:val="clear" w:color="auto" w:fill="auto"/>
          </w:tcPr>
          <w:p w:rsidR="002B4F56" w:rsidRPr="00877C7B" w:rsidRDefault="002B4F56" w:rsidP="002B4F56">
            <w:pPr>
              <w:jc w:val="center"/>
              <w:rPr>
                <w:rFonts w:cstheme="minorHAnsi"/>
                <w:sz w:val="20"/>
                <w:szCs w:val="20"/>
              </w:rPr>
            </w:pPr>
          </w:p>
        </w:tc>
        <w:tc>
          <w:tcPr>
            <w:tcW w:w="707" w:type="pct"/>
          </w:tcPr>
          <w:p w:rsidR="002B4F56" w:rsidRPr="00877C7B" w:rsidRDefault="002B4F56" w:rsidP="002B4F56">
            <w:pPr>
              <w:jc w:val="center"/>
              <w:rPr>
                <w:rFonts w:cstheme="minorHAnsi"/>
                <w:sz w:val="20"/>
                <w:szCs w:val="20"/>
              </w:rPr>
            </w:pPr>
          </w:p>
        </w:tc>
        <w:tc>
          <w:tcPr>
            <w:tcW w:w="756" w:type="pct"/>
          </w:tcPr>
          <w:p w:rsidR="002B4F56" w:rsidRPr="00877C7B" w:rsidRDefault="002B4F56" w:rsidP="002B4F56">
            <w:pPr>
              <w:jc w:val="center"/>
              <w:rPr>
                <w:rFonts w:cstheme="minorHAnsi"/>
                <w:sz w:val="20"/>
                <w:szCs w:val="20"/>
              </w:rPr>
            </w:pPr>
            <w:r w:rsidRPr="00877C7B">
              <w:rPr>
                <w:rFonts w:cstheme="minorHAnsi"/>
                <w:sz w:val="20"/>
                <w:szCs w:val="20"/>
              </w:rPr>
              <w:t>150,0</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Repayment</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115,0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-40,0</w:t>
            </w:r>
          </w:p>
        </w:tc>
        <w:tc>
          <w:tcPr>
            <w:tcW w:w="955" w:type="pct"/>
            <w:shd w:val="clear" w:color="auto" w:fill="auto"/>
          </w:tcPr>
          <w:p w:rsidR="002B4F56" w:rsidRPr="00877C7B" w:rsidRDefault="002B4F56" w:rsidP="002B4F56">
            <w:pPr>
              <w:jc w:val="center"/>
              <w:rPr>
                <w:rFonts w:cstheme="minorHAnsi"/>
                <w:sz w:val="20"/>
                <w:szCs w:val="20"/>
              </w:rPr>
            </w:pPr>
          </w:p>
        </w:tc>
        <w:tc>
          <w:tcPr>
            <w:tcW w:w="707" w:type="pct"/>
          </w:tcPr>
          <w:p w:rsidR="002B4F56" w:rsidRPr="00877C7B" w:rsidRDefault="002B4F56" w:rsidP="002B4F56">
            <w:pPr>
              <w:jc w:val="center"/>
              <w:rPr>
                <w:rFonts w:cstheme="minorHAnsi"/>
                <w:sz w:val="20"/>
                <w:szCs w:val="20"/>
              </w:rPr>
            </w:pPr>
          </w:p>
        </w:tc>
        <w:tc>
          <w:tcPr>
            <w:tcW w:w="756" w:type="pct"/>
          </w:tcPr>
          <w:p w:rsidR="002B4F56" w:rsidRPr="00877C7B" w:rsidRDefault="002B4F56" w:rsidP="002B4F56">
            <w:pPr>
              <w:jc w:val="center"/>
              <w:rPr>
                <w:rFonts w:cstheme="minorHAnsi"/>
                <w:sz w:val="20"/>
                <w:szCs w:val="20"/>
              </w:rPr>
            </w:pPr>
            <w:r w:rsidRPr="00877C7B">
              <w:rPr>
                <w:rFonts w:cstheme="minorHAnsi"/>
                <w:sz w:val="20"/>
                <w:szCs w:val="20"/>
              </w:rPr>
              <w:t>75,0</w:t>
            </w:r>
          </w:p>
        </w:tc>
      </w:tr>
      <w:tr w:rsidR="002B4F56" w:rsidRPr="00877C7B" w:rsidTr="00552D21">
        <w:trPr>
          <w:trHeight w:val="113"/>
        </w:trPr>
        <w:tc>
          <w:tcPr>
            <w:tcW w:w="1112" w:type="pct"/>
            <w:shd w:val="clear" w:color="auto" w:fill="auto"/>
            <w:vAlign w:val="center"/>
            <w:hideMark/>
          </w:tcPr>
          <w:p w:rsidR="002B4F56" w:rsidRPr="00877C7B" w:rsidRDefault="00B87C65"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Total</w:t>
            </w:r>
          </w:p>
        </w:tc>
        <w:tc>
          <w:tcPr>
            <w:tcW w:w="831" w:type="pct"/>
            <w:shd w:val="clear" w:color="auto" w:fill="auto"/>
            <w:vAlign w:val="center"/>
            <w:hideMark/>
          </w:tcPr>
          <w:p w:rsidR="002B4F56" w:rsidRPr="00877C7B" w:rsidRDefault="002B4F56"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13 705,0</w:t>
            </w:r>
          </w:p>
        </w:tc>
        <w:tc>
          <w:tcPr>
            <w:tcW w:w="638" w:type="pct"/>
            <w:shd w:val="clear" w:color="auto" w:fill="auto"/>
            <w:vAlign w:val="center"/>
            <w:hideMark/>
          </w:tcPr>
          <w:p w:rsidR="002B4F56" w:rsidRPr="00877C7B" w:rsidRDefault="002B4F56"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-1 817,0</w:t>
            </w:r>
          </w:p>
        </w:tc>
        <w:tc>
          <w:tcPr>
            <w:tcW w:w="955" w:type="pct"/>
            <w:shd w:val="clear" w:color="auto" w:fill="auto"/>
          </w:tcPr>
          <w:p w:rsidR="002B4F56" w:rsidRPr="00877C7B" w:rsidRDefault="002B4F56" w:rsidP="002B4F56">
            <w:pPr>
              <w:jc w:val="center"/>
              <w:rPr>
                <w:rFonts w:cstheme="minorHAnsi"/>
                <w:b/>
                <w:bCs/>
                <w:sz w:val="20"/>
                <w:szCs w:val="20"/>
              </w:rPr>
            </w:pPr>
            <w:r w:rsidRPr="00877C7B">
              <w:rPr>
                <w:rFonts w:cstheme="minorHAnsi"/>
                <w:b/>
                <w:bCs/>
                <w:sz w:val="20"/>
                <w:szCs w:val="20"/>
              </w:rPr>
              <w:t>-250,0</w:t>
            </w:r>
          </w:p>
        </w:tc>
        <w:tc>
          <w:tcPr>
            <w:tcW w:w="707" w:type="pct"/>
          </w:tcPr>
          <w:p w:rsidR="002B4F56" w:rsidRPr="00877C7B" w:rsidRDefault="002B4F56" w:rsidP="002B4F56">
            <w:pPr>
              <w:jc w:val="center"/>
              <w:rPr>
                <w:rFonts w:cstheme="minorHAnsi"/>
                <w:b/>
                <w:bCs/>
                <w:sz w:val="20"/>
                <w:szCs w:val="20"/>
              </w:rPr>
            </w:pPr>
            <w:r w:rsidRPr="00877C7B">
              <w:rPr>
                <w:rFonts w:cstheme="minorHAnsi"/>
                <w:b/>
                <w:bCs/>
                <w:sz w:val="20"/>
                <w:szCs w:val="20"/>
              </w:rPr>
              <w:t>187,0</w:t>
            </w:r>
          </w:p>
        </w:tc>
        <w:tc>
          <w:tcPr>
            <w:tcW w:w="756" w:type="pct"/>
          </w:tcPr>
          <w:p w:rsidR="002B4F56" w:rsidRPr="00877C7B" w:rsidRDefault="002B4F56" w:rsidP="002B4F56">
            <w:pPr>
              <w:jc w:val="center"/>
              <w:rPr>
                <w:rFonts w:cstheme="minorHAnsi"/>
                <w:b/>
                <w:bCs/>
                <w:sz w:val="20"/>
                <w:szCs w:val="20"/>
              </w:rPr>
            </w:pPr>
            <w:r w:rsidRPr="00877C7B">
              <w:rPr>
                <w:rFonts w:cstheme="minorHAnsi"/>
                <w:b/>
                <w:bCs/>
                <w:sz w:val="20"/>
                <w:szCs w:val="20"/>
              </w:rPr>
              <w:t>11 825,0</w:t>
            </w:r>
          </w:p>
        </w:tc>
      </w:tr>
    </w:tbl>
    <w:p w:rsidR="002B4F56" w:rsidRPr="00877C7B" w:rsidRDefault="002B4F56"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Theme="minorHAnsi" w:hAnsiTheme="minorHAnsi" w:cstheme="minorHAnsi"/>
          <w:bCs/>
          <w:noProof/>
          <w:sz w:val="22"/>
          <w:szCs w:val="22"/>
          <w:lang w:val="ka-GE"/>
        </w:rPr>
      </w:pPr>
    </w:p>
    <w:p w:rsidR="002B4F56" w:rsidRPr="00877C7B" w:rsidRDefault="002B4F56" w:rsidP="002B4F56">
      <w:pPr>
        <w:spacing w:line="276" w:lineRule="auto"/>
        <w:ind w:firstLine="567"/>
        <w:jc w:val="both"/>
        <w:rPr>
          <w:rFonts w:cstheme="minorHAnsi"/>
          <w:bCs/>
          <w:noProof/>
          <w:lang w:val="ka-GE"/>
        </w:rPr>
      </w:pPr>
      <w:r w:rsidRPr="00877C7B">
        <w:rPr>
          <w:rFonts w:cstheme="minorHAnsi"/>
          <w:lang w:val="ka-GE"/>
        </w:rPr>
        <w:tab/>
      </w:r>
      <w:r w:rsidR="00B87C65" w:rsidRPr="00877C7B">
        <w:rPr>
          <w:rFonts w:cstheme="minorHAnsi"/>
        </w:rPr>
        <w:t>As you can see from the table, as a result of economic slow-down the estimated revenue loss for 2020 amounted to GEL</w:t>
      </w:r>
      <w:r w:rsidRPr="00877C7B">
        <w:rPr>
          <w:rFonts w:cstheme="minorHAnsi"/>
          <w:lang w:val="ka-GE"/>
        </w:rPr>
        <w:t xml:space="preserve">1,8 </w:t>
      </w:r>
      <w:r w:rsidR="00B87C65" w:rsidRPr="00877C7B">
        <w:rPr>
          <w:rFonts w:cstheme="minorHAnsi"/>
        </w:rPr>
        <w:t xml:space="preserve">billion. In addition to that additional revenue loss came from the measure to support private sector as part of anti-crisis plan </w:t>
      </w:r>
      <w:r w:rsidRPr="00877C7B">
        <w:rPr>
          <w:rFonts w:cstheme="minorHAnsi"/>
          <w:bCs/>
          <w:noProof/>
          <w:lang w:val="ka-GE"/>
        </w:rPr>
        <w:t>(</w:t>
      </w:r>
      <w:r w:rsidR="00B87C65" w:rsidRPr="00877C7B">
        <w:rPr>
          <w:rFonts w:cstheme="minorHAnsi"/>
          <w:bCs/>
          <w:noProof/>
        </w:rPr>
        <w:t>tax exemptions)</w:t>
      </w:r>
      <w:r w:rsidR="00840E47" w:rsidRPr="00877C7B">
        <w:rPr>
          <w:rFonts w:cstheme="minorHAnsi"/>
          <w:bCs/>
          <w:noProof/>
        </w:rPr>
        <w:t xml:space="preserve">. Though additional resources were mobilized through </w:t>
      </w:r>
      <w:r w:rsidRPr="00877C7B">
        <w:rPr>
          <w:rFonts w:cstheme="minorHAnsi"/>
          <w:bCs/>
          <w:noProof/>
        </w:rPr>
        <w:t xml:space="preserve">STOPCOV </w:t>
      </w:r>
      <w:r w:rsidR="00840E47" w:rsidRPr="00877C7B">
        <w:rPr>
          <w:rFonts w:cstheme="minorHAnsi"/>
          <w:bCs/>
          <w:noProof/>
        </w:rPr>
        <w:t>fund (charity contributions due to COVID-19 crisis)</w:t>
      </w:r>
      <w:r w:rsidRPr="00877C7B">
        <w:rPr>
          <w:rFonts w:cstheme="minorHAnsi"/>
          <w:bCs/>
          <w:noProof/>
          <w:lang w:val="ka-GE"/>
        </w:rPr>
        <w:t xml:space="preserve">.  </w:t>
      </w:r>
    </w:p>
    <w:p w:rsidR="002B4F56" w:rsidRPr="00877C7B" w:rsidRDefault="00840E47" w:rsidP="002B4F56">
      <w:pPr>
        <w:spacing w:line="276" w:lineRule="auto"/>
        <w:ind w:firstLine="567"/>
        <w:jc w:val="both"/>
        <w:rPr>
          <w:rFonts w:cstheme="minorHAnsi"/>
          <w:bCs/>
          <w:noProof/>
          <w:lang w:val="ka-GE"/>
        </w:rPr>
      </w:pPr>
      <w:r w:rsidRPr="00877C7B">
        <w:rPr>
          <w:rFonts w:cstheme="minorHAnsi"/>
          <w:bCs/>
          <w:noProof/>
        </w:rPr>
        <w:t>To compensate for the loss of revenues and need for additional spending financing was mobilized from foreign and domestic borrowing:</w:t>
      </w:r>
    </w:p>
    <w:p w:rsidR="002B4F56" w:rsidRPr="00877C7B" w:rsidRDefault="00840E47" w:rsidP="002B4F56">
      <w:pPr>
        <w:pStyle w:val="ListParagraph"/>
        <w:numPr>
          <w:ilvl w:val="0"/>
          <w:numId w:val="6"/>
        </w:numPr>
        <w:spacing w:line="276" w:lineRule="auto"/>
        <w:jc w:val="both"/>
        <w:rPr>
          <w:rFonts w:cstheme="minorHAnsi"/>
          <w:bCs/>
          <w:noProof/>
          <w:lang w:val="ka-GE"/>
        </w:rPr>
      </w:pPr>
      <w:r w:rsidRPr="00877C7B">
        <w:rPr>
          <w:rFonts w:cstheme="minorHAnsi"/>
          <w:bCs/>
          <w:noProof/>
        </w:rPr>
        <w:t>Net domestic borrowing amounted to GEL</w:t>
      </w:r>
      <w:r w:rsidR="002B4F56" w:rsidRPr="00877C7B">
        <w:rPr>
          <w:rFonts w:cstheme="minorHAnsi"/>
          <w:bCs/>
          <w:noProof/>
          <w:lang w:val="ka-GE"/>
        </w:rPr>
        <w:t xml:space="preserve"> 1 850,0 </w:t>
      </w:r>
      <w:r w:rsidRPr="00877C7B">
        <w:rPr>
          <w:rFonts w:cstheme="minorHAnsi"/>
          <w:bCs/>
          <w:noProof/>
        </w:rPr>
        <w:t>million</w:t>
      </w:r>
      <w:r w:rsidR="002B4F56" w:rsidRPr="00877C7B">
        <w:rPr>
          <w:rFonts w:cstheme="minorHAnsi"/>
          <w:bCs/>
          <w:noProof/>
          <w:lang w:val="ka-GE"/>
        </w:rPr>
        <w:t xml:space="preserve">, </w:t>
      </w:r>
      <w:r w:rsidRPr="00877C7B">
        <w:rPr>
          <w:rFonts w:cstheme="minorHAnsi"/>
          <w:bCs/>
          <w:noProof/>
        </w:rPr>
        <w:t xml:space="preserve">including GEL </w:t>
      </w:r>
      <w:r w:rsidR="002B4F56" w:rsidRPr="00877C7B">
        <w:rPr>
          <w:rFonts w:cstheme="minorHAnsi"/>
          <w:bCs/>
          <w:noProof/>
          <w:lang w:val="ka-GE"/>
        </w:rPr>
        <w:t xml:space="preserve">600,0 </w:t>
      </w:r>
      <w:r w:rsidRPr="00877C7B">
        <w:rPr>
          <w:rFonts w:cstheme="minorHAnsi"/>
          <w:bCs/>
          <w:noProof/>
        </w:rPr>
        <w:t xml:space="preserve">million for </w:t>
      </w:r>
      <w:r w:rsidR="008C6254" w:rsidRPr="00877C7B">
        <w:rPr>
          <w:rFonts w:cstheme="minorHAnsi"/>
          <w:bCs/>
          <w:noProof/>
        </w:rPr>
        <w:t xml:space="preserve">issued for </w:t>
      </w:r>
      <w:r w:rsidRPr="00877C7B">
        <w:rPr>
          <w:rFonts w:cstheme="minorHAnsi"/>
          <w:bCs/>
          <w:noProof/>
        </w:rPr>
        <w:t>commercial banks to support long GEL liquidity</w:t>
      </w:r>
      <w:r w:rsidR="008C6254" w:rsidRPr="00877C7B">
        <w:rPr>
          <w:rFonts w:cstheme="minorHAnsi"/>
          <w:bCs/>
          <w:noProof/>
        </w:rPr>
        <w:t xml:space="preserve"> as deposit certificates; </w:t>
      </w:r>
    </w:p>
    <w:p w:rsidR="002B4F56" w:rsidRPr="00877C7B" w:rsidRDefault="008C6254" w:rsidP="002B4F56">
      <w:pPr>
        <w:pStyle w:val="ListParagraph"/>
        <w:numPr>
          <w:ilvl w:val="0"/>
          <w:numId w:val="6"/>
        </w:numPr>
        <w:spacing w:line="276" w:lineRule="auto"/>
        <w:jc w:val="both"/>
        <w:rPr>
          <w:rFonts w:cstheme="minorHAnsi"/>
          <w:bCs/>
          <w:noProof/>
          <w:lang w:val="ka-GE"/>
        </w:rPr>
      </w:pPr>
      <w:r w:rsidRPr="00877C7B">
        <w:rPr>
          <w:rFonts w:cstheme="minorHAnsi"/>
          <w:bCs/>
          <w:noProof/>
        </w:rPr>
        <w:t>External borrowing amounts to GEL</w:t>
      </w:r>
      <w:r w:rsidR="002B4F56" w:rsidRPr="00877C7B">
        <w:rPr>
          <w:rFonts w:cstheme="minorHAnsi"/>
          <w:bCs/>
          <w:noProof/>
          <w:lang w:val="ka-GE"/>
        </w:rPr>
        <w:t xml:space="preserve"> 6 187,6</w:t>
      </w:r>
      <w:r w:rsidRPr="00877C7B">
        <w:rPr>
          <w:rFonts w:cstheme="minorHAnsi"/>
          <w:bCs/>
          <w:noProof/>
        </w:rPr>
        <w:t xml:space="preserve"> million </w:t>
      </w:r>
      <w:r w:rsidR="002B4F56" w:rsidRPr="00877C7B">
        <w:rPr>
          <w:rFonts w:cstheme="minorHAnsi"/>
          <w:bCs/>
          <w:noProof/>
          <w:lang w:val="ka-GE"/>
        </w:rPr>
        <w:t>(</w:t>
      </w:r>
      <w:r w:rsidRPr="00877C7B">
        <w:rPr>
          <w:rFonts w:cstheme="minorHAnsi"/>
          <w:bCs/>
          <w:noProof/>
        </w:rPr>
        <w:t>Resources mobilized from Internationl Partners)</w:t>
      </w:r>
      <w:r w:rsidR="002B4F56" w:rsidRPr="00877C7B">
        <w:rPr>
          <w:rFonts w:cstheme="minorHAnsi"/>
          <w:bCs/>
          <w:noProof/>
          <w:lang w:val="ka-GE"/>
        </w:rPr>
        <w:t>;</w:t>
      </w:r>
    </w:p>
    <w:p w:rsidR="002B4F56" w:rsidRPr="00877C7B" w:rsidRDefault="002B4F56" w:rsidP="002B4F56">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Theme="minorHAnsi" w:hAnsiTheme="minorHAnsi" w:cstheme="minorHAnsi"/>
          <w:bCs/>
          <w:noProof/>
          <w:sz w:val="22"/>
          <w:szCs w:val="22"/>
          <w:lang w:val="ka-GE"/>
        </w:rPr>
      </w:pPr>
      <w:r w:rsidRPr="00877C7B">
        <w:rPr>
          <w:rFonts w:asciiTheme="minorHAnsi" w:hAnsiTheme="minorHAnsi" w:cstheme="minorHAnsi"/>
          <w:bCs/>
          <w:noProof/>
          <w:sz w:val="22"/>
          <w:szCs w:val="22"/>
          <w:lang w:val="ka-GE"/>
        </w:rPr>
        <w:tab/>
      </w:r>
      <w:r w:rsidR="008C6254" w:rsidRPr="00877C7B">
        <w:rPr>
          <w:rFonts w:asciiTheme="minorHAnsi" w:hAnsiTheme="minorHAnsi" w:cstheme="minorHAnsi"/>
          <w:bCs/>
          <w:noProof/>
          <w:sz w:val="22"/>
          <w:szCs w:val="22"/>
          <w:lang w:val="en-US"/>
        </w:rPr>
        <w:t>Estimated costs for anti-crisis measures affecte</w:t>
      </w:r>
      <w:r w:rsidR="003D3F9E" w:rsidRPr="00877C7B">
        <w:rPr>
          <w:rFonts w:asciiTheme="minorHAnsi" w:hAnsiTheme="minorHAnsi" w:cstheme="minorHAnsi"/>
          <w:bCs/>
          <w:noProof/>
          <w:sz w:val="22"/>
          <w:szCs w:val="22"/>
          <w:lang w:val="en-US"/>
        </w:rPr>
        <w:t>d</w:t>
      </w:r>
      <w:r w:rsidR="008C6254" w:rsidRPr="00877C7B">
        <w:rPr>
          <w:rFonts w:asciiTheme="minorHAnsi" w:hAnsiTheme="minorHAnsi" w:cstheme="minorHAnsi"/>
          <w:bCs/>
          <w:noProof/>
          <w:sz w:val="22"/>
          <w:szCs w:val="22"/>
          <w:lang w:val="en-US"/>
        </w:rPr>
        <w:t xml:space="preserve"> 2020 and medium-term expenditure forecasts</w:t>
      </w:r>
      <w:r w:rsidRPr="00877C7B">
        <w:rPr>
          <w:rFonts w:asciiTheme="minorHAnsi" w:hAnsiTheme="minorHAnsi" w:cstheme="minorHAnsi"/>
          <w:bCs/>
          <w:noProof/>
          <w:sz w:val="22"/>
          <w:szCs w:val="22"/>
          <w:lang w:val="ka-GE"/>
        </w:rPr>
        <w:t>.</w:t>
      </w:r>
    </w:p>
    <w:p w:rsidR="002B4F56" w:rsidRPr="00877C7B" w:rsidRDefault="008C6254"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Theme="minorHAnsi" w:hAnsiTheme="minorHAnsi" w:cstheme="minorHAnsi"/>
          <w:b/>
          <w:bCs/>
          <w:noProof/>
          <w:sz w:val="20"/>
          <w:szCs w:val="22"/>
          <w:lang w:val="ka-GE"/>
        </w:rPr>
      </w:pPr>
      <w:r w:rsidRPr="00877C7B">
        <w:rPr>
          <w:rFonts w:asciiTheme="minorHAnsi" w:hAnsiTheme="minorHAnsi" w:cstheme="minorHAnsi"/>
          <w:b/>
          <w:bCs/>
          <w:noProof/>
          <w:sz w:val="20"/>
          <w:szCs w:val="22"/>
          <w:lang w:val="en-US"/>
        </w:rPr>
        <w:t>Table</w:t>
      </w:r>
      <w:r w:rsidR="002B4F56" w:rsidRPr="00877C7B">
        <w:rPr>
          <w:rFonts w:asciiTheme="minorHAnsi" w:hAnsiTheme="minorHAnsi" w:cstheme="minorHAnsi"/>
          <w:b/>
          <w:bCs/>
          <w:noProof/>
          <w:sz w:val="20"/>
          <w:szCs w:val="22"/>
          <w:lang w:val="ka-GE"/>
        </w:rPr>
        <w:t xml:space="preserve"> №8. </w:t>
      </w:r>
      <w:r w:rsidRPr="00877C7B">
        <w:rPr>
          <w:rFonts w:asciiTheme="minorHAnsi" w:hAnsiTheme="minorHAnsi" w:cstheme="minorHAnsi"/>
          <w:b/>
          <w:bCs/>
          <w:noProof/>
          <w:sz w:val="20"/>
          <w:szCs w:val="22"/>
          <w:lang w:val="en-US"/>
        </w:rPr>
        <w:t>Consolidated Primary Current Expenditure</w:t>
      </w:r>
    </w:p>
    <w:p w:rsidR="002B4F56" w:rsidRPr="00877C7B" w:rsidRDefault="002B4F56"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Theme="minorHAnsi" w:hAnsiTheme="minorHAnsi" w:cstheme="minorHAnsi"/>
          <w:b/>
          <w:bCs/>
          <w:i/>
          <w:noProof/>
          <w:sz w:val="20"/>
          <w:szCs w:val="22"/>
          <w:lang w:val="ka-GE"/>
        </w:rPr>
      </w:pPr>
      <w:r w:rsidRPr="00877C7B">
        <w:rPr>
          <w:rFonts w:asciiTheme="minorHAnsi" w:hAnsiTheme="minorHAnsi" w:cstheme="minorHAnsi"/>
          <w:b/>
          <w:bCs/>
          <w:i/>
          <w:noProof/>
          <w:sz w:val="20"/>
          <w:szCs w:val="22"/>
          <w:lang w:val="en-US"/>
        </w:rPr>
        <w:t>/</w:t>
      </w:r>
      <w:r w:rsidR="008C6254" w:rsidRPr="00877C7B">
        <w:rPr>
          <w:rFonts w:asciiTheme="minorHAnsi" w:hAnsiTheme="minorHAnsi" w:cstheme="minorHAnsi"/>
          <w:b/>
          <w:bCs/>
          <w:i/>
          <w:noProof/>
          <w:sz w:val="20"/>
          <w:szCs w:val="22"/>
          <w:lang w:val="en-US"/>
        </w:rPr>
        <w:t>million GEL</w:t>
      </w:r>
      <w:r w:rsidRPr="00877C7B">
        <w:rPr>
          <w:rFonts w:asciiTheme="minorHAnsi" w:hAnsiTheme="minorHAnsi" w:cstheme="minorHAnsi"/>
          <w:b/>
          <w:bCs/>
          <w:i/>
          <w:noProof/>
          <w:sz w:val="20"/>
          <w:szCs w:val="22"/>
          <w:lang w:val="ka-GE"/>
        </w:rPr>
        <w:t>/</w:t>
      </w:r>
    </w:p>
    <w:tbl>
      <w:tblPr>
        <w:tblW w:w="522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051"/>
        <w:gridCol w:w="1879"/>
        <w:gridCol w:w="1166"/>
        <w:gridCol w:w="1836"/>
        <w:gridCol w:w="2103"/>
      </w:tblGrid>
      <w:tr w:rsidR="002B4F56" w:rsidRPr="00877C7B" w:rsidTr="00552D21">
        <w:trPr>
          <w:trHeight w:val="900"/>
          <w:tblHeader/>
        </w:trPr>
        <w:tc>
          <w:tcPr>
            <w:tcW w:w="1520"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Title</w:t>
            </w:r>
          </w:p>
        </w:tc>
        <w:tc>
          <w:tcPr>
            <w:tcW w:w="936"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Original Forecast</w:t>
            </w:r>
          </w:p>
        </w:tc>
        <w:tc>
          <w:tcPr>
            <w:tcW w:w="581"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Cut</w:t>
            </w:r>
          </w:p>
        </w:tc>
        <w:tc>
          <w:tcPr>
            <w:tcW w:w="915"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Additional Spending Needs</w:t>
            </w:r>
          </w:p>
        </w:tc>
        <w:tc>
          <w:tcPr>
            <w:tcW w:w="1048"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Adjusted Forecast</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Compensation of Em</w:t>
            </w:r>
            <w:r w:rsidR="00552D21" w:rsidRPr="00877C7B">
              <w:rPr>
                <w:rFonts w:eastAsia="Times New Roman" w:cstheme="minorHAnsi"/>
                <w:color w:val="000000"/>
                <w:sz w:val="20"/>
                <w:szCs w:val="20"/>
              </w:rPr>
              <w:t>p</w:t>
            </w:r>
            <w:r w:rsidRPr="00877C7B">
              <w:rPr>
                <w:rFonts w:eastAsia="Times New Roman" w:cstheme="minorHAnsi"/>
                <w:color w:val="000000"/>
                <w:sz w:val="20"/>
                <w:szCs w:val="20"/>
              </w:rPr>
              <w:t>loyees</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1 896,0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-57,0</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0,0</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1 839,0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Goods and Services</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1 772,0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-107,0</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195,0</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1 860,0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Subsidies</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1 031,0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-73,2</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559,2</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1 517,0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Grants</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127,0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-5,7</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2,7</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124,0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Social Expenditure</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4 556,0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-25,8</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1 044,8</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5 575,0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Other Expenditure</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1 267,0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-33,0</w:t>
            </w:r>
          </w:p>
        </w:tc>
        <w:tc>
          <w:tcPr>
            <w:tcW w:w="915"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0,0</w:t>
            </w:r>
          </w:p>
        </w:tc>
        <w:tc>
          <w:tcPr>
            <w:tcW w:w="1048" w:type="pct"/>
            <w:shd w:val="clear" w:color="auto" w:fill="auto"/>
            <w:vAlign w:val="center"/>
            <w:hideMark/>
          </w:tcPr>
          <w:p w:rsidR="002B4F56" w:rsidRPr="00877C7B" w:rsidRDefault="002B4F56" w:rsidP="002B4F56">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1 234,0</w:t>
            </w:r>
          </w:p>
        </w:tc>
      </w:tr>
      <w:tr w:rsidR="002B4F56" w:rsidRPr="00877C7B" w:rsidTr="002B4F56">
        <w:trPr>
          <w:trHeight w:val="300"/>
        </w:trPr>
        <w:tc>
          <w:tcPr>
            <w:tcW w:w="1520" w:type="pct"/>
            <w:shd w:val="clear" w:color="auto" w:fill="auto"/>
            <w:vAlign w:val="center"/>
            <w:hideMark/>
          </w:tcPr>
          <w:p w:rsidR="002B4F56" w:rsidRPr="00877C7B" w:rsidRDefault="008C6254"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Total</w:t>
            </w:r>
          </w:p>
        </w:tc>
        <w:tc>
          <w:tcPr>
            <w:tcW w:w="936" w:type="pct"/>
            <w:shd w:val="clear" w:color="auto" w:fill="auto"/>
            <w:vAlign w:val="center"/>
            <w:hideMark/>
          </w:tcPr>
          <w:p w:rsidR="002B4F56" w:rsidRPr="00877C7B" w:rsidRDefault="002B4F56"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10 649,0</w:t>
            </w:r>
          </w:p>
        </w:tc>
        <w:tc>
          <w:tcPr>
            <w:tcW w:w="581" w:type="pct"/>
            <w:shd w:val="clear" w:color="auto" w:fill="auto"/>
            <w:vAlign w:val="center"/>
            <w:hideMark/>
          </w:tcPr>
          <w:p w:rsidR="002B4F56" w:rsidRPr="00877C7B" w:rsidRDefault="002B4F56" w:rsidP="002B4F56">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-301,7</w:t>
            </w:r>
          </w:p>
        </w:tc>
        <w:tc>
          <w:tcPr>
            <w:tcW w:w="915" w:type="pct"/>
            <w:shd w:val="clear" w:color="auto" w:fill="auto"/>
            <w:vAlign w:val="center"/>
            <w:hideMark/>
          </w:tcPr>
          <w:p w:rsidR="002B4F56" w:rsidRPr="00877C7B" w:rsidRDefault="002B4F56" w:rsidP="002B4F56">
            <w:pPr>
              <w:pStyle w:val="ListParagraph"/>
              <w:numPr>
                <w:ilvl w:val="0"/>
                <w:numId w:val="7"/>
              </w:num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801,7</w:t>
            </w:r>
          </w:p>
        </w:tc>
        <w:tc>
          <w:tcPr>
            <w:tcW w:w="1048" w:type="pct"/>
            <w:shd w:val="clear" w:color="auto" w:fill="auto"/>
            <w:vAlign w:val="center"/>
            <w:hideMark/>
          </w:tcPr>
          <w:p w:rsidR="002B4F56" w:rsidRPr="00877C7B" w:rsidRDefault="002B4F56" w:rsidP="002B4F56">
            <w:pPr>
              <w:pStyle w:val="ListParagraph"/>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lang w:val="ka-GE"/>
              </w:rPr>
              <w:t>12 1</w:t>
            </w:r>
            <w:r w:rsidRPr="00877C7B">
              <w:rPr>
                <w:rFonts w:eastAsia="Times New Roman" w:cstheme="minorHAnsi"/>
                <w:b/>
                <w:bCs/>
                <w:color w:val="000000"/>
                <w:sz w:val="20"/>
                <w:szCs w:val="20"/>
              </w:rPr>
              <w:t>49,0</w:t>
            </w:r>
          </w:p>
        </w:tc>
      </w:tr>
    </w:tbl>
    <w:p w:rsidR="002B4F56" w:rsidRPr="00877C7B" w:rsidRDefault="002B4F56"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Theme="minorHAnsi" w:hAnsiTheme="minorHAnsi" w:cstheme="minorHAnsi"/>
          <w:b/>
          <w:bCs/>
          <w:i/>
          <w:noProof/>
          <w:sz w:val="20"/>
          <w:szCs w:val="22"/>
          <w:lang w:val="ka-GE"/>
        </w:rPr>
      </w:pPr>
    </w:p>
    <w:p w:rsidR="002B4F56" w:rsidRPr="00877C7B" w:rsidRDefault="002B4F56" w:rsidP="002B4F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Theme="minorHAnsi" w:hAnsiTheme="minorHAnsi" w:cstheme="minorHAnsi"/>
          <w:bCs/>
          <w:noProof/>
          <w:sz w:val="22"/>
          <w:szCs w:val="22"/>
          <w:lang w:val="ka-GE"/>
        </w:rPr>
      </w:pPr>
      <w:r w:rsidRPr="00877C7B">
        <w:rPr>
          <w:rFonts w:asciiTheme="minorHAnsi" w:hAnsiTheme="minorHAnsi" w:cstheme="minorHAnsi"/>
          <w:bCs/>
          <w:noProof/>
          <w:sz w:val="22"/>
          <w:szCs w:val="22"/>
          <w:lang w:val="ka-GE"/>
        </w:rPr>
        <w:tab/>
      </w:r>
      <w:r w:rsidR="008C6254" w:rsidRPr="00877C7B">
        <w:rPr>
          <w:rFonts w:asciiTheme="minorHAnsi" w:hAnsiTheme="minorHAnsi" w:cstheme="minorHAnsi"/>
          <w:bCs/>
          <w:noProof/>
          <w:sz w:val="22"/>
          <w:szCs w:val="22"/>
          <w:lang w:val="en-US"/>
        </w:rPr>
        <w:t xml:space="preserve">Original Capex of Consolidated Budget was planned as GEL </w:t>
      </w:r>
      <w:r w:rsidRPr="00877C7B">
        <w:rPr>
          <w:rFonts w:asciiTheme="minorHAnsi" w:hAnsiTheme="minorHAnsi" w:cstheme="minorHAnsi"/>
          <w:bCs/>
          <w:noProof/>
          <w:sz w:val="22"/>
          <w:szCs w:val="22"/>
          <w:lang w:val="ka-GE"/>
        </w:rPr>
        <w:t>3 866,0</w:t>
      </w:r>
      <w:r w:rsidR="008C6254" w:rsidRPr="00877C7B">
        <w:rPr>
          <w:rFonts w:asciiTheme="minorHAnsi" w:hAnsiTheme="minorHAnsi" w:cstheme="minorHAnsi"/>
          <w:bCs/>
          <w:noProof/>
          <w:sz w:val="22"/>
          <w:szCs w:val="22"/>
          <w:lang w:val="en-US"/>
        </w:rPr>
        <w:t xml:space="preserve"> million, which was reduced by GEL 298</w:t>
      </w:r>
      <w:r w:rsidRPr="00877C7B">
        <w:rPr>
          <w:rFonts w:asciiTheme="minorHAnsi" w:hAnsiTheme="minorHAnsi" w:cstheme="minorHAnsi"/>
          <w:bCs/>
          <w:noProof/>
          <w:sz w:val="22"/>
          <w:szCs w:val="22"/>
          <w:lang w:val="ka-GE"/>
        </w:rPr>
        <w:t xml:space="preserve"> </w:t>
      </w:r>
      <w:r w:rsidR="008C6254" w:rsidRPr="00877C7B">
        <w:rPr>
          <w:rFonts w:asciiTheme="minorHAnsi" w:hAnsiTheme="minorHAnsi" w:cstheme="minorHAnsi"/>
          <w:bCs/>
          <w:noProof/>
          <w:sz w:val="22"/>
          <w:szCs w:val="22"/>
          <w:lang w:val="en-US"/>
        </w:rPr>
        <w:t>million to partially compensate for the increased budget deficit, though the additional capex was also estimated to be needed including for healthcare sector (GEL 108.8 million)</w:t>
      </w:r>
      <w:r w:rsidRPr="00877C7B">
        <w:rPr>
          <w:rFonts w:asciiTheme="minorHAnsi" w:hAnsiTheme="minorHAnsi" w:cstheme="minorHAnsi"/>
          <w:bCs/>
          <w:noProof/>
          <w:sz w:val="22"/>
          <w:szCs w:val="22"/>
          <w:lang w:val="ka-GE"/>
        </w:rPr>
        <w:t xml:space="preserve">. </w:t>
      </w:r>
      <w:r w:rsidR="008C3066" w:rsidRPr="00877C7B">
        <w:rPr>
          <w:rFonts w:asciiTheme="minorHAnsi" w:hAnsiTheme="minorHAnsi" w:cstheme="minorHAnsi"/>
          <w:bCs/>
          <w:noProof/>
          <w:sz w:val="22"/>
          <w:szCs w:val="22"/>
          <w:lang w:val="en-US"/>
        </w:rPr>
        <w:t xml:space="preserve">As a result the adjusted capex amounted to GEL </w:t>
      </w:r>
      <w:r w:rsidRPr="00877C7B">
        <w:rPr>
          <w:rFonts w:asciiTheme="minorHAnsi" w:hAnsiTheme="minorHAnsi" w:cstheme="minorHAnsi"/>
          <w:bCs/>
          <w:noProof/>
          <w:sz w:val="22"/>
          <w:szCs w:val="22"/>
          <w:lang w:val="ka-GE"/>
        </w:rPr>
        <w:t xml:space="preserve">3 686,0 </w:t>
      </w:r>
      <w:r w:rsidR="008C3066" w:rsidRPr="00877C7B">
        <w:rPr>
          <w:rFonts w:asciiTheme="minorHAnsi" w:hAnsiTheme="minorHAnsi" w:cstheme="minorHAnsi"/>
          <w:bCs/>
          <w:noProof/>
          <w:sz w:val="22"/>
          <w:szCs w:val="22"/>
          <w:lang w:val="en-US"/>
        </w:rPr>
        <w:t>million</w:t>
      </w:r>
      <w:r w:rsidRPr="00877C7B">
        <w:rPr>
          <w:rFonts w:asciiTheme="minorHAnsi" w:hAnsiTheme="minorHAnsi" w:cstheme="minorHAnsi"/>
          <w:bCs/>
          <w:noProof/>
          <w:sz w:val="22"/>
          <w:szCs w:val="22"/>
          <w:lang w:val="ka-GE"/>
        </w:rPr>
        <w:t>.</w:t>
      </w:r>
    </w:p>
    <w:p w:rsidR="002B4F56" w:rsidRPr="00877C7B" w:rsidRDefault="002B4F56" w:rsidP="00877C7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Theme="minorHAnsi" w:hAnsiTheme="minorHAnsi" w:cstheme="minorHAnsi"/>
          <w:b/>
          <w:lang w:val="ka-GE"/>
        </w:rPr>
      </w:pPr>
      <w:r w:rsidRPr="00877C7B">
        <w:rPr>
          <w:rFonts w:asciiTheme="minorHAnsi" w:hAnsiTheme="minorHAnsi" w:cstheme="minorHAnsi"/>
          <w:bCs/>
          <w:noProof/>
          <w:sz w:val="22"/>
          <w:szCs w:val="22"/>
          <w:lang w:val="ka-GE"/>
        </w:rPr>
        <w:tab/>
      </w:r>
      <w:r w:rsidR="008C3066" w:rsidRPr="000B5D76">
        <w:rPr>
          <w:rFonts w:asciiTheme="minorHAnsi" w:hAnsiTheme="minorHAnsi" w:cstheme="minorHAnsi"/>
          <w:b/>
          <w:sz w:val="22"/>
          <w:lang w:val="en-US"/>
        </w:rPr>
        <w:t xml:space="preserve">Second Stage of Pandemic Spread in Georgia and Fiscal Policy Response </w:t>
      </w:r>
    </w:p>
    <w:p w:rsidR="002B4F56" w:rsidRPr="00877C7B" w:rsidRDefault="008C3066" w:rsidP="002B4F56">
      <w:pPr>
        <w:spacing w:line="276" w:lineRule="auto"/>
        <w:ind w:firstLine="567"/>
        <w:jc w:val="both"/>
        <w:rPr>
          <w:rFonts w:cstheme="minorHAnsi"/>
          <w:lang w:val="ka-GE"/>
        </w:rPr>
      </w:pPr>
      <w:r w:rsidRPr="00877C7B">
        <w:rPr>
          <w:rFonts w:cstheme="minorHAnsi"/>
        </w:rPr>
        <w:t xml:space="preserve">Spread of the virus has accelerated significantly in Georgia as well as across the world since </w:t>
      </w:r>
      <w:r w:rsidR="00552D21" w:rsidRPr="00877C7B">
        <w:rPr>
          <w:rFonts w:cstheme="minorHAnsi"/>
        </w:rPr>
        <w:t>September</w:t>
      </w:r>
      <w:r w:rsidRPr="00877C7B">
        <w:rPr>
          <w:rFonts w:cstheme="minorHAnsi"/>
        </w:rPr>
        <w:t xml:space="preserve"> </w:t>
      </w:r>
      <w:r w:rsidR="002B4F56" w:rsidRPr="00877C7B">
        <w:rPr>
          <w:rFonts w:cstheme="minorHAnsi"/>
          <w:lang w:val="ka-GE"/>
        </w:rPr>
        <w:t xml:space="preserve">2020 </w:t>
      </w:r>
      <w:r w:rsidRPr="00877C7B">
        <w:rPr>
          <w:rFonts w:cstheme="minorHAnsi"/>
        </w:rPr>
        <w:t>and many countries have launched another wave of restrictions</w:t>
      </w:r>
      <w:r w:rsidR="002B4F56" w:rsidRPr="00877C7B">
        <w:rPr>
          <w:rFonts w:cstheme="minorHAnsi"/>
          <w:lang w:val="ka-GE"/>
        </w:rPr>
        <w:t>.</w:t>
      </w:r>
    </w:p>
    <w:p w:rsidR="002B4F56" w:rsidRPr="00877C7B" w:rsidRDefault="008C3066" w:rsidP="00877C7B">
      <w:pPr>
        <w:spacing w:after="0" w:line="276" w:lineRule="auto"/>
        <w:ind w:firstLine="567"/>
        <w:jc w:val="both"/>
        <w:rPr>
          <w:rFonts w:cstheme="minorHAnsi"/>
          <w:lang w:val="ka-GE"/>
        </w:rPr>
      </w:pPr>
      <w:r w:rsidRPr="00877C7B">
        <w:rPr>
          <w:rFonts w:cstheme="minorHAnsi"/>
        </w:rPr>
        <w:t xml:space="preserve">Georgian Government has negotiated updated macro-fiscal parameters with IMF </w:t>
      </w:r>
      <w:r w:rsidR="00552D21" w:rsidRPr="00877C7B">
        <w:rPr>
          <w:rFonts w:cstheme="minorHAnsi"/>
        </w:rPr>
        <w:t>within</w:t>
      </w:r>
      <w:r w:rsidRPr="00877C7B">
        <w:rPr>
          <w:rFonts w:cstheme="minorHAnsi"/>
        </w:rPr>
        <w:t xml:space="preserve"> the 7</w:t>
      </w:r>
      <w:r w:rsidRPr="00877C7B">
        <w:rPr>
          <w:rFonts w:cstheme="minorHAnsi"/>
          <w:vertAlign w:val="superscript"/>
        </w:rPr>
        <w:t>th</w:t>
      </w:r>
      <w:r w:rsidRPr="00877C7B">
        <w:rPr>
          <w:rFonts w:cstheme="minorHAnsi"/>
        </w:rPr>
        <w:t xml:space="preserve"> program review</w:t>
      </w:r>
      <w:r w:rsidR="002B4F56" w:rsidRPr="00877C7B">
        <w:rPr>
          <w:rFonts w:cstheme="minorHAnsi"/>
          <w:lang w:val="ka-GE"/>
        </w:rPr>
        <w:t>.</w:t>
      </w:r>
    </w:p>
    <w:p w:rsidR="002B4F56" w:rsidRPr="00877C7B" w:rsidRDefault="008C3066" w:rsidP="00877C7B">
      <w:pPr>
        <w:spacing w:after="0" w:line="276" w:lineRule="auto"/>
        <w:ind w:firstLine="567"/>
        <w:jc w:val="both"/>
        <w:rPr>
          <w:rFonts w:cstheme="minorHAnsi"/>
          <w:lang w:val="ka-GE"/>
        </w:rPr>
      </w:pPr>
      <w:r w:rsidRPr="00877C7B">
        <w:rPr>
          <w:rFonts w:cstheme="minorHAnsi"/>
        </w:rPr>
        <w:t xml:space="preserve">During the elaboration of </w:t>
      </w:r>
      <w:r w:rsidR="002B4F56" w:rsidRPr="00877C7B">
        <w:rPr>
          <w:rFonts w:cstheme="minorHAnsi"/>
          <w:lang w:val="ka-GE"/>
        </w:rPr>
        <w:t xml:space="preserve">2021 </w:t>
      </w:r>
      <w:r w:rsidRPr="00877C7B">
        <w:rPr>
          <w:rFonts w:cstheme="minorHAnsi"/>
        </w:rPr>
        <w:t xml:space="preserve">Budget parameters and analyzing the 2020 macro parameters it has become evident that the 2020 economic slow-down is more severe than anticipated initially, especially having in mind the deteriorated situation of the virus spread and additional 2 month long restrictions on certain sectors, starting from November 28, 2020. </w:t>
      </w:r>
      <w:r w:rsidR="00365108" w:rsidRPr="00877C7B">
        <w:rPr>
          <w:rFonts w:cstheme="minorHAnsi"/>
        </w:rPr>
        <w:t>Need for Additional Social benefits package was also depicted in the fiscal framework of 2020-2021.</w:t>
      </w:r>
    </w:p>
    <w:p w:rsidR="002B4F56" w:rsidRPr="00877C7B" w:rsidRDefault="00365108" w:rsidP="00877C7B">
      <w:pPr>
        <w:spacing w:after="0" w:line="276" w:lineRule="auto"/>
        <w:ind w:firstLine="567"/>
        <w:jc w:val="both"/>
        <w:rPr>
          <w:rFonts w:cstheme="minorHAnsi"/>
          <w:lang w:val="ka-GE"/>
        </w:rPr>
      </w:pPr>
      <w:r w:rsidRPr="00877C7B">
        <w:rPr>
          <w:rFonts w:cstheme="minorHAnsi"/>
        </w:rPr>
        <w:t>Updated</w:t>
      </w:r>
      <w:r w:rsidR="002B4F56" w:rsidRPr="00877C7B">
        <w:rPr>
          <w:rFonts w:cstheme="minorHAnsi"/>
          <w:lang w:val="ka-GE"/>
        </w:rPr>
        <w:t xml:space="preserve"> 2021</w:t>
      </w:r>
      <w:r w:rsidRPr="00877C7B">
        <w:rPr>
          <w:rFonts w:cstheme="minorHAnsi"/>
        </w:rPr>
        <w:t xml:space="preserve"> State budget draft law is based on the assumption that economic slow-down of 2020 is (</w:t>
      </w:r>
      <w:r w:rsidR="002B4F56" w:rsidRPr="00877C7B">
        <w:rPr>
          <w:rFonts w:cstheme="minorHAnsi"/>
          <w:lang w:val="ka-GE"/>
        </w:rPr>
        <w:t xml:space="preserve">-5%). </w:t>
      </w:r>
      <w:r w:rsidRPr="00877C7B">
        <w:rPr>
          <w:rFonts w:cstheme="minorHAnsi"/>
        </w:rPr>
        <w:t xml:space="preserve">Updated projections for </w:t>
      </w:r>
      <w:r w:rsidR="002B4F56" w:rsidRPr="00877C7B">
        <w:rPr>
          <w:rFonts w:cstheme="minorHAnsi"/>
          <w:lang w:val="ka-GE"/>
        </w:rPr>
        <w:t xml:space="preserve">2020 </w:t>
      </w:r>
      <w:r w:rsidRPr="00877C7B">
        <w:rPr>
          <w:rFonts w:cstheme="minorHAnsi"/>
        </w:rPr>
        <w:t>revenues are affected not only by the deeper economic slow-down but by the cost of additional tax exemptions as part of the new wave of anti-crisis measures, which led to further increase of deficit projection in 2020 up to 9%</w:t>
      </w:r>
      <w:r w:rsidR="002B4F56" w:rsidRPr="00877C7B">
        <w:rPr>
          <w:rFonts w:cstheme="minorHAnsi"/>
          <w:lang w:val="ka-GE"/>
        </w:rPr>
        <w:t xml:space="preserve">. </w:t>
      </w:r>
      <w:r w:rsidRPr="00877C7B">
        <w:rPr>
          <w:rFonts w:cstheme="minorHAnsi"/>
        </w:rPr>
        <w:t xml:space="preserve">Assumptions for </w:t>
      </w:r>
      <w:r w:rsidR="002B4F56" w:rsidRPr="00877C7B">
        <w:rPr>
          <w:rFonts w:cstheme="minorHAnsi"/>
          <w:lang w:val="ka-GE"/>
        </w:rPr>
        <w:t xml:space="preserve">2021 </w:t>
      </w:r>
      <w:r w:rsidRPr="00877C7B">
        <w:rPr>
          <w:rFonts w:cstheme="minorHAnsi"/>
        </w:rPr>
        <w:t>Budget imply GDP growth of</w:t>
      </w:r>
      <w:r w:rsidR="002B4F56" w:rsidRPr="00877C7B">
        <w:rPr>
          <w:rFonts w:cstheme="minorHAnsi"/>
          <w:lang w:val="ka-GE"/>
        </w:rPr>
        <w:t xml:space="preserve"> 4.3%</w:t>
      </w:r>
      <w:r w:rsidRPr="00877C7B">
        <w:rPr>
          <w:rFonts w:cstheme="minorHAnsi"/>
        </w:rPr>
        <w:t xml:space="preserve"> and deficit of </w:t>
      </w:r>
      <w:r w:rsidR="002B4F56" w:rsidRPr="00877C7B">
        <w:rPr>
          <w:rFonts w:cstheme="minorHAnsi"/>
          <w:lang w:val="ka-GE"/>
        </w:rPr>
        <w:t>7.6%.</w:t>
      </w:r>
    </w:p>
    <w:p w:rsidR="002B4F56" w:rsidRPr="00877C7B" w:rsidRDefault="00365108" w:rsidP="00877C7B">
      <w:pPr>
        <w:spacing w:after="0" w:line="276" w:lineRule="auto"/>
        <w:ind w:firstLine="567"/>
        <w:jc w:val="both"/>
        <w:rPr>
          <w:rFonts w:cstheme="minorHAnsi"/>
          <w:lang w:val="ka-GE"/>
        </w:rPr>
      </w:pPr>
      <w:r w:rsidRPr="00877C7B">
        <w:rPr>
          <w:rFonts w:cstheme="minorHAnsi"/>
        </w:rPr>
        <w:t>Updated assumptions for 2020-2021 macro-fiscal framework parameters prove it even more challenging to bring down the major parameters within the limits set by the organic law on “Economic Liber</w:t>
      </w:r>
      <w:r w:rsidR="00552D21" w:rsidRPr="00877C7B">
        <w:rPr>
          <w:rFonts w:cstheme="minorHAnsi"/>
        </w:rPr>
        <w:t>t</w:t>
      </w:r>
      <w:r w:rsidRPr="00877C7B">
        <w:rPr>
          <w:rFonts w:cstheme="minorHAnsi"/>
        </w:rPr>
        <w:t>y Act”</w:t>
      </w:r>
      <w:r w:rsidR="002B4F56" w:rsidRPr="00877C7B">
        <w:rPr>
          <w:rFonts w:cstheme="minorHAnsi"/>
          <w:lang w:val="ka-GE"/>
        </w:rPr>
        <w:t>.</w:t>
      </w:r>
    </w:p>
    <w:p w:rsidR="001A2070" w:rsidRPr="00877C7B" w:rsidRDefault="001A2070" w:rsidP="00F374B8">
      <w:pPr>
        <w:ind w:firstLine="720"/>
        <w:rPr>
          <w:rFonts w:cstheme="minorHAnsi"/>
          <w:b/>
        </w:rPr>
      </w:pPr>
      <w:r w:rsidRPr="00877C7B">
        <w:rPr>
          <w:rFonts w:cstheme="minorHAnsi"/>
          <w:b/>
        </w:rPr>
        <w:t xml:space="preserve">Medium-term forecasts </w:t>
      </w:r>
    </w:p>
    <w:p w:rsidR="001A2070" w:rsidRPr="00877C7B" w:rsidRDefault="002F127D" w:rsidP="00877C7B">
      <w:pPr>
        <w:spacing w:after="0" w:line="276" w:lineRule="auto"/>
        <w:ind w:firstLine="720"/>
        <w:jc w:val="both"/>
        <w:rPr>
          <w:rFonts w:cstheme="minorHAnsi"/>
        </w:rPr>
      </w:pPr>
      <w:r w:rsidRPr="00877C7B">
        <w:rPr>
          <w:rFonts w:cstheme="minorHAnsi"/>
        </w:rPr>
        <w:t xml:space="preserve">The data of 2021-2024 </w:t>
      </w:r>
      <w:r w:rsidR="00340608" w:rsidRPr="00877C7B">
        <w:rPr>
          <w:rFonts w:cstheme="minorHAnsi"/>
        </w:rPr>
        <w:t xml:space="preserve">is </w:t>
      </w:r>
      <w:r w:rsidRPr="00877C7B">
        <w:rPr>
          <w:rFonts w:cstheme="minorHAnsi"/>
        </w:rPr>
        <w:t>reflect</w:t>
      </w:r>
      <w:r w:rsidR="00340608" w:rsidRPr="00877C7B">
        <w:rPr>
          <w:rFonts w:cstheme="minorHAnsi"/>
        </w:rPr>
        <w:t>ed by</w:t>
      </w:r>
      <w:r w:rsidRPr="00877C7B">
        <w:rPr>
          <w:rFonts w:cstheme="minorHAnsi"/>
        </w:rPr>
        <w:t xml:space="preserve"> </w:t>
      </w:r>
      <w:r w:rsidR="00340608" w:rsidRPr="00877C7B">
        <w:rPr>
          <w:rFonts w:cstheme="minorHAnsi"/>
        </w:rPr>
        <w:t>the</w:t>
      </w:r>
      <w:r w:rsidRPr="00877C7B">
        <w:rPr>
          <w:rFonts w:cstheme="minorHAnsi"/>
        </w:rPr>
        <w:t xml:space="preserve"> updated forecast of 2020-2023 macroeconomic and fiscal variables coming from the actual 2019 data and the current situation. </w:t>
      </w:r>
      <w:r w:rsidR="005A14D9" w:rsidRPr="00877C7B">
        <w:rPr>
          <w:rFonts w:cstheme="minorHAnsi"/>
        </w:rPr>
        <w:t xml:space="preserve">The new forecast is formed in light of </w:t>
      </w:r>
      <w:r w:rsidR="00340608" w:rsidRPr="00877C7B">
        <w:rPr>
          <w:rFonts w:cstheme="minorHAnsi"/>
        </w:rPr>
        <w:t xml:space="preserve">the </w:t>
      </w:r>
      <w:r w:rsidR="005A14D9" w:rsidRPr="00877C7B">
        <w:rPr>
          <w:rFonts w:cstheme="minorHAnsi"/>
        </w:rPr>
        <w:t xml:space="preserve">pandemic, and takes into account the revised indicators for 2020 parameters agreed with the IMF. </w:t>
      </w:r>
    </w:p>
    <w:p w:rsidR="005A14D9" w:rsidRPr="00877C7B" w:rsidRDefault="00B64161" w:rsidP="00877C7B">
      <w:pPr>
        <w:spacing w:after="240" w:line="276" w:lineRule="auto"/>
        <w:ind w:firstLine="720"/>
        <w:jc w:val="both"/>
        <w:rPr>
          <w:rFonts w:cstheme="minorHAnsi"/>
        </w:rPr>
      </w:pPr>
      <w:r w:rsidRPr="00877C7B">
        <w:rPr>
          <w:rFonts w:cstheme="minorHAnsi"/>
        </w:rPr>
        <w:t xml:space="preserve">During developing the first draft of </w:t>
      </w:r>
      <w:r w:rsidR="00C37240" w:rsidRPr="00877C7B">
        <w:rPr>
          <w:rFonts w:cstheme="minorHAnsi"/>
        </w:rPr>
        <w:t>202</w:t>
      </w:r>
      <w:r w:rsidR="00C37240" w:rsidRPr="00877C7B">
        <w:rPr>
          <w:rFonts w:cstheme="minorHAnsi"/>
          <w:lang w:val="ka-GE"/>
        </w:rPr>
        <w:t>1</w:t>
      </w:r>
      <w:r w:rsidR="00C37240" w:rsidRPr="00877C7B">
        <w:rPr>
          <w:rFonts w:cstheme="minorHAnsi"/>
        </w:rPr>
        <w:t>-2024 Basic Data and Directions (BDD) document</w:t>
      </w:r>
      <w:r w:rsidR="00B753F7" w:rsidRPr="00877C7B">
        <w:rPr>
          <w:rFonts w:cstheme="minorHAnsi"/>
        </w:rPr>
        <w:t xml:space="preserve"> in July 2020</w:t>
      </w:r>
      <w:r w:rsidR="00C37240" w:rsidRPr="00877C7B">
        <w:rPr>
          <w:rFonts w:cstheme="minorHAnsi"/>
        </w:rPr>
        <w:t xml:space="preserve">, the forecasts of revenue of </w:t>
      </w:r>
      <w:r w:rsidR="00340608" w:rsidRPr="00877C7B">
        <w:rPr>
          <w:rFonts w:cstheme="minorHAnsi"/>
        </w:rPr>
        <w:t xml:space="preserve">updated </w:t>
      </w:r>
      <w:r w:rsidR="00C37240" w:rsidRPr="00877C7B">
        <w:rPr>
          <w:rFonts w:cstheme="minorHAnsi"/>
        </w:rPr>
        <w:t xml:space="preserve">2021-2024 have been reduced in nominal terms, compared to the 2020-2023 medium-term forecasts </w:t>
      </w:r>
      <w:r w:rsidR="00EF5435" w:rsidRPr="00877C7B">
        <w:rPr>
          <w:rFonts w:cstheme="minorHAnsi"/>
        </w:rPr>
        <w:t>provided in</w:t>
      </w:r>
      <w:r w:rsidR="00C37240" w:rsidRPr="00877C7B">
        <w:rPr>
          <w:rFonts w:cstheme="minorHAnsi"/>
        </w:rPr>
        <w:t xml:space="preserve"> December 2019. </w:t>
      </w:r>
      <w:r w:rsidR="00A75651" w:rsidRPr="00877C7B">
        <w:rPr>
          <w:rFonts w:cstheme="minorHAnsi"/>
        </w:rPr>
        <w:t xml:space="preserve">There is less loss of revenues in 2020 within the current updated medium-term forecasts of 2021-2024, than it was made in July 2020. However, the total loss for 2020 is GEL 986.0 mln compared to the forecast of December 2019, while forecasted loss for 2021 is higher than it was projected in 2019. This is due to the lower value of economic growth and the additional anti-crisis package, which considers the tax concessions. </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14"/>
        <w:gridCol w:w="1277"/>
        <w:gridCol w:w="1278"/>
        <w:gridCol w:w="1278"/>
        <w:gridCol w:w="1278"/>
        <w:gridCol w:w="1282"/>
      </w:tblGrid>
      <w:tr w:rsidR="00A90BE4" w:rsidRPr="00877C7B" w:rsidTr="00A90BE4">
        <w:trPr>
          <w:trHeight w:val="315"/>
          <w:tblHeader/>
        </w:trPr>
        <w:tc>
          <w:tcPr>
            <w:tcW w:w="1673" w:type="pct"/>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r w:rsidRPr="00877C7B">
              <w:rPr>
                <w:rFonts w:eastAsia="Times New Roman" w:cstheme="minorHAnsi"/>
                <w:b/>
                <w:color w:val="000000"/>
                <w:sz w:val="20"/>
                <w:szCs w:val="20"/>
              </w:rPr>
              <w:t>Table 9. Revenue Forecast</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p>
        </w:tc>
        <w:tc>
          <w:tcPr>
            <w:tcW w:w="667" w:type="pct"/>
            <w:shd w:val="clear" w:color="000000" w:fill="FDE9D9"/>
            <w:noWrap/>
            <w:vAlign w:val="center"/>
          </w:tcPr>
          <w:p w:rsidR="00A90BE4" w:rsidRPr="00877C7B" w:rsidRDefault="00A90BE4" w:rsidP="00A90BE4">
            <w:pPr>
              <w:spacing w:after="0" w:line="240" w:lineRule="auto"/>
              <w:jc w:val="center"/>
              <w:rPr>
                <w:rFonts w:eastAsia="Times New Roman" w:cstheme="minorHAnsi"/>
                <w:b/>
                <w:bCs/>
                <w:sz w:val="18"/>
                <w:szCs w:val="18"/>
              </w:rPr>
            </w:pPr>
          </w:p>
        </w:tc>
      </w:tr>
      <w:tr w:rsidR="00A90BE4" w:rsidRPr="00877C7B" w:rsidTr="00A90BE4">
        <w:trPr>
          <w:trHeight w:val="315"/>
          <w:tblHeader/>
        </w:trPr>
        <w:tc>
          <w:tcPr>
            <w:tcW w:w="1673" w:type="pct"/>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r w:rsidRPr="00877C7B">
              <w:rPr>
                <w:rFonts w:cstheme="minorHAnsi"/>
                <w:b/>
                <w:sz w:val="20"/>
              </w:rPr>
              <w:t xml:space="preserve">Million GEL </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20"/>
                <w:szCs w:val="18"/>
              </w:rPr>
            </w:pPr>
            <w:r w:rsidRPr="00877C7B">
              <w:rPr>
                <w:rFonts w:eastAsia="Times New Roman" w:cstheme="minorHAnsi"/>
                <w:b/>
                <w:bCs/>
                <w:sz w:val="20"/>
                <w:szCs w:val="18"/>
              </w:rPr>
              <w:t>2020</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20"/>
                <w:szCs w:val="18"/>
              </w:rPr>
            </w:pPr>
            <w:r w:rsidRPr="00877C7B">
              <w:rPr>
                <w:rFonts w:eastAsia="Times New Roman" w:cstheme="minorHAnsi"/>
                <w:b/>
                <w:bCs/>
                <w:sz w:val="20"/>
                <w:szCs w:val="18"/>
              </w:rPr>
              <w:t>2021</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20"/>
                <w:szCs w:val="18"/>
              </w:rPr>
            </w:pPr>
            <w:r w:rsidRPr="00877C7B">
              <w:rPr>
                <w:rFonts w:eastAsia="Times New Roman" w:cstheme="minorHAnsi"/>
                <w:b/>
                <w:bCs/>
                <w:sz w:val="20"/>
                <w:szCs w:val="18"/>
              </w:rPr>
              <w:t>2022</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20"/>
                <w:szCs w:val="18"/>
              </w:rPr>
            </w:pPr>
            <w:r w:rsidRPr="00877C7B">
              <w:rPr>
                <w:rFonts w:eastAsia="Times New Roman" w:cstheme="minorHAnsi"/>
                <w:b/>
                <w:bCs/>
                <w:sz w:val="20"/>
                <w:szCs w:val="18"/>
              </w:rPr>
              <w:t>2023</w:t>
            </w:r>
          </w:p>
        </w:tc>
        <w:tc>
          <w:tcPr>
            <w:tcW w:w="667" w:type="pct"/>
            <w:shd w:val="clear" w:color="000000" w:fill="FDE9D9"/>
            <w:noWrap/>
            <w:vAlign w:val="center"/>
          </w:tcPr>
          <w:p w:rsidR="00A90BE4" w:rsidRPr="00877C7B" w:rsidRDefault="00A90BE4" w:rsidP="00A90BE4">
            <w:pPr>
              <w:spacing w:after="0" w:line="240" w:lineRule="auto"/>
              <w:jc w:val="center"/>
              <w:rPr>
                <w:rFonts w:eastAsia="Times New Roman" w:cstheme="minorHAnsi"/>
                <w:b/>
                <w:bCs/>
                <w:sz w:val="20"/>
                <w:szCs w:val="18"/>
              </w:rPr>
            </w:pPr>
            <w:r w:rsidRPr="00877C7B">
              <w:rPr>
                <w:rFonts w:eastAsia="Times New Roman" w:cstheme="minorHAnsi"/>
                <w:b/>
                <w:bCs/>
                <w:sz w:val="20"/>
                <w:szCs w:val="18"/>
              </w:rPr>
              <w:t>2024</w:t>
            </w:r>
          </w:p>
        </w:tc>
      </w:tr>
      <w:tr w:rsidR="00A90BE4" w:rsidRPr="00877C7B" w:rsidTr="00A90BE4">
        <w:trPr>
          <w:trHeight w:val="315"/>
          <w:tblHeader/>
        </w:trPr>
        <w:tc>
          <w:tcPr>
            <w:tcW w:w="1673" w:type="pct"/>
            <w:shd w:val="clear" w:color="auto" w:fill="auto"/>
            <w:noWrap/>
            <w:vAlign w:val="center"/>
          </w:tcPr>
          <w:p w:rsidR="00A90BE4" w:rsidRPr="00877C7B" w:rsidRDefault="00A90BE4" w:rsidP="00A90BE4">
            <w:pPr>
              <w:spacing w:after="0" w:line="240" w:lineRule="auto"/>
              <w:rPr>
                <w:rFonts w:eastAsia="Times New Roman" w:cstheme="minorHAnsi"/>
                <w:sz w:val="20"/>
                <w:szCs w:val="18"/>
              </w:rPr>
            </w:pP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Expected</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A90BE4" w:rsidRPr="00877C7B" w:rsidRDefault="00A90BE4" w:rsidP="00A90BE4">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7" w:type="pct"/>
            <w:shd w:val="clear" w:color="000000" w:fill="FDE9D9"/>
            <w:noWrap/>
            <w:vAlign w:val="center"/>
          </w:tcPr>
          <w:p w:rsidR="00A90BE4" w:rsidRPr="00877C7B" w:rsidRDefault="00A90BE4" w:rsidP="00A90BE4">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rPr>
            </w:pPr>
            <w:r w:rsidRPr="00877C7B">
              <w:rPr>
                <w:rFonts w:eastAsia="Times New Roman" w:cstheme="minorHAnsi"/>
                <w:sz w:val="20"/>
              </w:rPr>
              <w:t> </w:t>
            </w:r>
          </w:p>
        </w:tc>
      </w:tr>
      <w:tr w:rsidR="00A90BE4" w:rsidRPr="00877C7B" w:rsidTr="00A90BE4">
        <w:trPr>
          <w:trHeight w:val="315"/>
        </w:trPr>
        <w:tc>
          <w:tcPr>
            <w:tcW w:w="1673" w:type="pc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rPr>
            </w:pPr>
            <w:r w:rsidRPr="00877C7B">
              <w:rPr>
                <w:rFonts w:eastAsia="Times New Roman" w:cstheme="minorHAnsi"/>
                <w:b/>
                <w:bCs/>
                <w:sz w:val="20"/>
                <w:szCs w:val="18"/>
              </w:rPr>
              <w:t>Revenue</w:t>
            </w:r>
          </w:p>
        </w:tc>
        <w:tc>
          <w:tcPr>
            <w:tcW w:w="3327" w:type="pct"/>
            <w:gridSpan w:val="5"/>
            <w:shd w:val="clear" w:color="000000" w:fill="FDE9D9"/>
            <w:noWrap/>
            <w:vAlign w:val="center"/>
            <w:hideMark/>
          </w:tcPr>
          <w:p w:rsidR="00A90BE4" w:rsidRPr="00877C7B" w:rsidRDefault="00A90BE4" w:rsidP="00A90BE4">
            <w:pPr>
              <w:spacing w:after="0" w:line="240" w:lineRule="auto"/>
              <w:rPr>
                <w:rFonts w:eastAsia="Times New Roman" w:cstheme="minorHAnsi"/>
              </w:rPr>
            </w:pPr>
            <w:r w:rsidRPr="00877C7B">
              <w:rPr>
                <w:rFonts w:eastAsia="Times New Roman" w:cstheme="minorHAnsi"/>
              </w:rPr>
              <w:t> </w:t>
            </w:r>
          </w:p>
        </w:tc>
      </w:tr>
      <w:tr w:rsidR="00A90BE4" w:rsidRPr="00877C7B" w:rsidTr="00A90BE4">
        <w:trPr>
          <w:trHeight w:val="525"/>
        </w:trPr>
        <w:tc>
          <w:tcPr>
            <w:tcW w:w="1673" w:type="pct"/>
            <w:shd w:val="clear" w:color="auto" w:fill="auto"/>
            <w:vAlign w:val="center"/>
            <w:hideMark/>
          </w:tcPr>
          <w:p w:rsidR="00A90BE4" w:rsidRPr="00877C7B" w:rsidRDefault="00A90BE4"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2020-2023 </w:t>
            </w:r>
            <w:r w:rsidR="00543F4B" w:rsidRPr="00877C7B">
              <w:rPr>
                <w:rFonts w:eastAsia="Times New Roman" w:cstheme="minorHAnsi"/>
                <w:sz w:val="20"/>
                <w:szCs w:val="18"/>
              </w:rPr>
              <w:t xml:space="preserve">forecast </w:t>
            </w:r>
            <w:r w:rsidRPr="00877C7B">
              <w:rPr>
                <w:rFonts w:eastAsia="Times New Roman" w:cstheme="minorHAnsi"/>
                <w:sz w:val="20"/>
                <w:szCs w:val="18"/>
              </w:rPr>
              <w:t>(</w:t>
            </w:r>
            <w:r w:rsidR="00543F4B" w:rsidRPr="00877C7B">
              <w:rPr>
                <w:rFonts w:eastAsia="Times New Roman" w:cstheme="minorHAnsi"/>
                <w:sz w:val="20"/>
                <w:szCs w:val="18"/>
              </w:rPr>
              <w:t xml:space="preserve">December </w:t>
            </w:r>
            <w:r w:rsidRPr="00877C7B">
              <w:rPr>
                <w:rFonts w:eastAsia="Times New Roman" w:cstheme="minorHAnsi"/>
                <w:sz w:val="20"/>
                <w:szCs w:val="18"/>
              </w:rPr>
              <w:t>2019)</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13 612,0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14 751,0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15 805,0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17 056,0</w:t>
            </w:r>
          </w:p>
        </w:tc>
        <w:tc>
          <w:tcPr>
            <w:tcW w:w="667" w:type="pct"/>
            <w:shd w:val="clear" w:color="000000" w:fill="FDE9D9"/>
            <w:noWrap/>
            <w:vAlign w:val="center"/>
            <w:hideMark/>
          </w:tcPr>
          <w:p w:rsidR="00A90BE4" w:rsidRPr="00877C7B" w:rsidRDefault="00A90BE4" w:rsidP="00A90BE4">
            <w:pPr>
              <w:spacing w:after="0" w:line="240" w:lineRule="auto"/>
              <w:rPr>
                <w:rFonts w:eastAsia="Times New Roman" w:cstheme="minorHAnsi"/>
              </w:rPr>
            </w:pPr>
            <w:r w:rsidRPr="00877C7B">
              <w:rPr>
                <w:rFonts w:eastAsia="Times New Roman" w:cstheme="minorHAnsi"/>
              </w:rPr>
              <w:t> </w:t>
            </w:r>
          </w:p>
        </w:tc>
      </w:tr>
      <w:tr w:rsidR="00A90BE4" w:rsidRPr="00877C7B" w:rsidTr="00A90BE4">
        <w:trPr>
          <w:trHeight w:val="525"/>
        </w:trPr>
        <w:tc>
          <w:tcPr>
            <w:tcW w:w="1673" w:type="pct"/>
            <w:shd w:val="clear" w:color="auto" w:fill="auto"/>
            <w:vAlign w:val="center"/>
            <w:hideMark/>
          </w:tcPr>
          <w:p w:rsidR="00A90BE4" w:rsidRPr="00877C7B" w:rsidRDefault="00A90BE4"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543F4B" w:rsidRPr="00877C7B">
              <w:rPr>
                <w:rFonts w:eastAsia="Times New Roman" w:cstheme="minorHAnsi"/>
                <w:sz w:val="20"/>
                <w:szCs w:val="18"/>
              </w:rPr>
              <w:t xml:space="preserve">forecast </w:t>
            </w:r>
            <w:r w:rsidRPr="00877C7B">
              <w:rPr>
                <w:rFonts w:eastAsia="Times New Roman" w:cstheme="minorHAnsi"/>
                <w:sz w:val="20"/>
                <w:szCs w:val="18"/>
              </w:rPr>
              <w:t>(</w:t>
            </w:r>
            <w:r w:rsidR="00543F4B" w:rsidRPr="00877C7B">
              <w:rPr>
                <w:rFonts w:eastAsia="Times New Roman" w:cstheme="minorHAnsi"/>
                <w:sz w:val="20"/>
                <w:szCs w:val="18"/>
              </w:rPr>
              <w:t xml:space="preserve">July </w:t>
            </w:r>
            <w:r w:rsidRPr="00877C7B">
              <w:rPr>
                <w:rFonts w:eastAsia="Times New Roman" w:cstheme="minorHAnsi"/>
                <w:sz w:val="20"/>
                <w:szCs w:val="18"/>
              </w:rPr>
              <w:t>2020)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12 163,0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13 466,0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14 931,0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16 469,0</w:t>
            </w:r>
          </w:p>
        </w:tc>
        <w:tc>
          <w:tcPr>
            <w:tcW w:w="667" w:type="pct"/>
            <w:shd w:val="clear" w:color="000000" w:fill="FDE9D9"/>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17 927,0</w:t>
            </w:r>
          </w:p>
        </w:tc>
      </w:tr>
      <w:tr w:rsidR="00A90BE4" w:rsidRPr="00877C7B" w:rsidTr="00A90BE4">
        <w:trPr>
          <w:trHeight w:val="315"/>
        </w:trPr>
        <w:tc>
          <w:tcPr>
            <w:tcW w:w="1673" w:type="pct"/>
            <w:shd w:val="clear" w:color="auto" w:fill="auto"/>
            <w:noWrap/>
            <w:vAlign w:val="center"/>
            <w:hideMark/>
          </w:tcPr>
          <w:p w:rsidR="00A90BE4" w:rsidRPr="00877C7B" w:rsidRDefault="00A90BE4" w:rsidP="00A90BE4">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-1 449,0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-1 285,0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-874,0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-587,0</w:t>
            </w:r>
          </w:p>
        </w:tc>
        <w:tc>
          <w:tcPr>
            <w:tcW w:w="667" w:type="pct"/>
            <w:shd w:val="clear" w:color="000000" w:fill="FDE9D9"/>
            <w:noWrap/>
            <w:vAlign w:val="center"/>
            <w:hideMark/>
          </w:tcPr>
          <w:p w:rsidR="00A90BE4" w:rsidRPr="00877C7B" w:rsidRDefault="00A90BE4" w:rsidP="00A90BE4">
            <w:pPr>
              <w:spacing w:after="0" w:line="240" w:lineRule="auto"/>
              <w:rPr>
                <w:rFonts w:eastAsia="Times New Roman" w:cstheme="minorHAnsi"/>
              </w:rPr>
            </w:pPr>
            <w:r w:rsidRPr="00877C7B">
              <w:rPr>
                <w:rFonts w:eastAsia="Times New Roman" w:cstheme="minorHAnsi"/>
              </w:rPr>
              <w:t> </w:t>
            </w:r>
          </w:p>
        </w:tc>
      </w:tr>
      <w:tr w:rsidR="00A90BE4" w:rsidRPr="00877C7B" w:rsidTr="00A90BE4">
        <w:trPr>
          <w:trHeight w:val="525"/>
        </w:trPr>
        <w:tc>
          <w:tcPr>
            <w:tcW w:w="1673" w:type="pct"/>
            <w:shd w:val="clear" w:color="auto" w:fill="auto"/>
            <w:vAlign w:val="center"/>
            <w:hideMark/>
          </w:tcPr>
          <w:p w:rsidR="00A90BE4" w:rsidRPr="00877C7B" w:rsidRDefault="00A90BE4"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543F4B" w:rsidRPr="00877C7B">
              <w:rPr>
                <w:rFonts w:eastAsia="Times New Roman" w:cstheme="minorHAnsi"/>
                <w:sz w:val="20"/>
                <w:szCs w:val="18"/>
              </w:rPr>
              <w:t>forecast</w:t>
            </w:r>
            <w:r w:rsidRPr="00877C7B">
              <w:rPr>
                <w:rFonts w:eastAsia="Times New Roman" w:cstheme="minorHAnsi"/>
                <w:sz w:val="20"/>
                <w:szCs w:val="18"/>
              </w:rPr>
              <w:t xml:space="preserve"> (</w:t>
            </w:r>
            <w:r w:rsidR="00543F4B" w:rsidRPr="00877C7B">
              <w:rPr>
                <w:rFonts w:eastAsia="Times New Roman" w:cstheme="minorHAnsi"/>
                <w:sz w:val="20"/>
                <w:szCs w:val="18"/>
              </w:rPr>
              <w:t xml:space="preserve">November </w:t>
            </w:r>
            <w:r w:rsidRPr="00877C7B">
              <w:rPr>
                <w:rFonts w:eastAsia="Times New Roman" w:cstheme="minorHAnsi"/>
                <w:sz w:val="20"/>
                <w:szCs w:val="18"/>
              </w:rPr>
              <w:t>2020)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12 626,0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13 402,0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14 969,0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16 331,0</w:t>
            </w:r>
          </w:p>
        </w:tc>
        <w:tc>
          <w:tcPr>
            <w:tcW w:w="667" w:type="pct"/>
            <w:shd w:val="clear" w:color="000000" w:fill="FDE9D9"/>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17 827,0</w:t>
            </w:r>
          </w:p>
        </w:tc>
      </w:tr>
      <w:tr w:rsidR="00A90BE4" w:rsidRPr="00877C7B" w:rsidTr="00A90BE4">
        <w:trPr>
          <w:trHeight w:val="315"/>
        </w:trPr>
        <w:tc>
          <w:tcPr>
            <w:tcW w:w="1673" w:type="pct"/>
            <w:shd w:val="clear" w:color="auto" w:fill="auto"/>
            <w:noWrap/>
            <w:vAlign w:val="center"/>
            <w:hideMark/>
          </w:tcPr>
          <w:p w:rsidR="00A90BE4" w:rsidRPr="00877C7B" w:rsidRDefault="00A90BE4" w:rsidP="00A90BE4">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-986,0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-1 349,0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-836,0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-725,0</w:t>
            </w:r>
          </w:p>
        </w:tc>
        <w:tc>
          <w:tcPr>
            <w:tcW w:w="667" w:type="pct"/>
            <w:shd w:val="clear" w:color="000000" w:fill="FDE9D9"/>
            <w:noWrap/>
            <w:vAlign w:val="center"/>
            <w:hideMark/>
          </w:tcPr>
          <w:p w:rsidR="00A90BE4" w:rsidRPr="00877C7B" w:rsidRDefault="00A90BE4" w:rsidP="00A90BE4">
            <w:pPr>
              <w:spacing w:after="0" w:line="240" w:lineRule="auto"/>
              <w:rPr>
                <w:rFonts w:eastAsia="Times New Roman" w:cstheme="minorHAnsi"/>
              </w:rPr>
            </w:pPr>
            <w:r w:rsidRPr="00877C7B">
              <w:rPr>
                <w:rFonts w:eastAsia="Times New Roman" w:cstheme="minorHAnsi"/>
              </w:rPr>
              <w:t> </w:t>
            </w:r>
          </w:p>
        </w:tc>
      </w:tr>
      <w:tr w:rsidR="00A90BE4" w:rsidRPr="00877C7B" w:rsidTr="00432FF5">
        <w:trPr>
          <w:trHeight w:val="203"/>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p>
        </w:tc>
      </w:tr>
      <w:tr w:rsidR="00A90BE4" w:rsidRPr="00877C7B" w:rsidTr="00A90BE4">
        <w:trPr>
          <w:trHeight w:val="468"/>
        </w:trPr>
        <w:tc>
          <w:tcPr>
            <w:tcW w:w="1673" w:type="pc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lang w:val="ka-GE"/>
              </w:rPr>
            </w:pPr>
            <w:r w:rsidRPr="00877C7B">
              <w:rPr>
                <w:rFonts w:eastAsia="Times New Roman" w:cstheme="minorHAnsi"/>
                <w:b/>
                <w:bCs/>
                <w:sz w:val="20"/>
                <w:szCs w:val="18"/>
              </w:rPr>
              <w:t>Decrease in Non-Financial Assets</w:t>
            </w:r>
          </w:p>
        </w:tc>
        <w:tc>
          <w:tcPr>
            <w:tcW w:w="3327" w:type="pct"/>
            <w:gridSpan w:val="5"/>
            <w:shd w:val="clear" w:color="000000" w:fill="FDE9D9"/>
            <w:noWrap/>
            <w:vAlign w:val="center"/>
            <w:hideMark/>
          </w:tcPr>
          <w:p w:rsidR="00A90BE4" w:rsidRPr="00877C7B" w:rsidRDefault="00A90BE4" w:rsidP="00A90BE4">
            <w:pPr>
              <w:spacing w:after="0" w:line="240" w:lineRule="auto"/>
              <w:rPr>
                <w:rFonts w:eastAsia="Times New Roman" w:cstheme="minorHAnsi"/>
                <w:sz w:val="18"/>
                <w:szCs w:val="18"/>
              </w:rPr>
            </w:pPr>
            <w:r w:rsidRPr="00877C7B">
              <w:rPr>
                <w:rFonts w:eastAsia="Times New Roman" w:cstheme="minorHAnsi"/>
                <w:sz w:val="18"/>
                <w:szCs w:val="18"/>
              </w:rPr>
              <w:t> </w:t>
            </w:r>
          </w:p>
        </w:tc>
      </w:tr>
      <w:tr w:rsidR="00543F4B" w:rsidRPr="00877C7B" w:rsidTr="00A90BE4">
        <w:trPr>
          <w:trHeight w:val="525"/>
        </w:trPr>
        <w:tc>
          <w:tcPr>
            <w:tcW w:w="1673" w:type="pct"/>
            <w:shd w:val="clear" w:color="auto" w:fill="auto"/>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230,0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200,0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217,0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235,0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43F4B" w:rsidRPr="00877C7B" w:rsidTr="00A90BE4">
        <w:trPr>
          <w:trHeight w:val="525"/>
        </w:trPr>
        <w:tc>
          <w:tcPr>
            <w:tcW w:w="1673" w:type="pct"/>
            <w:shd w:val="clear" w:color="auto" w:fill="auto"/>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r>
      <w:tr w:rsidR="00543F4B" w:rsidRPr="00877C7B" w:rsidTr="00A90BE4">
        <w:trPr>
          <w:trHeight w:val="315"/>
        </w:trPr>
        <w:tc>
          <w:tcPr>
            <w:tcW w:w="1673" w:type="pct"/>
            <w:shd w:val="clear" w:color="auto" w:fill="auto"/>
            <w:noWrap/>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-80,0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33,0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15,0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43F4B" w:rsidRPr="00877C7B" w:rsidTr="00A90BE4">
        <w:trPr>
          <w:trHeight w:val="525"/>
        </w:trPr>
        <w:tc>
          <w:tcPr>
            <w:tcW w:w="1673" w:type="pct"/>
            <w:shd w:val="clear" w:color="auto" w:fill="auto"/>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250,0</w:t>
            </w:r>
          </w:p>
        </w:tc>
      </w:tr>
      <w:tr w:rsidR="00543F4B" w:rsidRPr="00877C7B" w:rsidTr="00A90BE4">
        <w:trPr>
          <w:trHeight w:val="315"/>
        </w:trPr>
        <w:tc>
          <w:tcPr>
            <w:tcW w:w="1673" w:type="pct"/>
            <w:shd w:val="clear" w:color="auto" w:fill="auto"/>
            <w:noWrap/>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-80,0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50,0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33,0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15,0</w:t>
            </w:r>
          </w:p>
        </w:tc>
        <w:tc>
          <w:tcPr>
            <w:tcW w:w="667" w:type="pct"/>
            <w:shd w:val="clear" w:color="000000" w:fill="FDE9D9"/>
            <w:noWrap/>
            <w:vAlign w:val="center"/>
            <w:hideMark/>
          </w:tcPr>
          <w:p w:rsidR="00543F4B" w:rsidRPr="00877C7B" w:rsidRDefault="00543F4B" w:rsidP="00543F4B">
            <w:pPr>
              <w:spacing w:after="0" w:line="240" w:lineRule="auto"/>
              <w:rPr>
                <w:rFonts w:eastAsia="Times New Roman" w:cstheme="minorHAnsi"/>
              </w:rPr>
            </w:pPr>
            <w:r w:rsidRPr="00877C7B">
              <w:rPr>
                <w:rFonts w:eastAsia="Times New Roman" w:cstheme="minorHAnsi"/>
              </w:rPr>
              <w:t> </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rPr>
            </w:pPr>
            <w:r w:rsidRPr="00877C7B">
              <w:rPr>
                <w:rFonts w:eastAsia="Times New Roman" w:cstheme="minorHAnsi"/>
                <w:sz w:val="20"/>
              </w:rPr>
              <w:t> </w:t>
            </w:r>
          </w:p>
        </w:tc>
      </w:tr>
      <w:tr w:rsidR="00A90BE4" w:rsidRPr="00877C7B" w:rsidTr="00A90BE4">
        <w:trPr>
          <w:trHeight w:val="450"/>
        </w:trPr>
        <w:tc>
          <w:tcPr>
            <w:tcW w:w="1673" w:type="pct"/>
            <w:vMerge w:val="restar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rPr>
            </w:pPr>
            <w:r w:rsidRPr="00877C7B">
              <w:rPr>
                <w:rFonts w:eastAsia="Times New Roman" w:cstheme="minorHAnsi"/>
                <w:b/>
                <w:bCs/>
                <w:sz w:val="20"/>
                <w:szCs w:val="18"/>
              </w:rPr>
              <w:t>Decrease in Financial Assets</w:t>
            </w:r>
          </w:p>
        </w:tc>
        <w:tc>
          <w:tcPr>
            <w:tcW w:w="3327" w:type="pct"/>
            <w:gridSpan w:val="5"/>
            <w:vMerge w:val="restart"/>
            <w:shd w:val="clear" w:color="000000" w:fill="FDE9D9"/>
            <w:noWrap/>
            <w:vAlign w:val="center"/>
            <w:hideMark/>
          </w:tcPr>
          <w:p w:rsidR="00A90BE4" w:rsidRPr="00877C7B" w:rsidRDefault="00A90BE4" w:rsidP="00A90BE4">
            <w:pPr>
              <w:spacing w:after="0" w:line="240" w:lineRule="auto"/>
              <w:rPr>
                <w:rFonts w:eastAsia="Times New Roman" w:cstheme="minorHAnsi"/>
                <w:sz w:val="18"/>
                <w:szCs w:val="18"/>
              </w:rPr>
            </w:pPr>
            <w:r w:rsidRPr="00877C7B">
              <w:rPr>
                <w:rFonts w:eastAsia="Times New Roman" w:cstheme="minorHAnsi"/>
                <w:sz w:val="18"/>
                <w:szCs w:val="18"/>
              </w:rPr>
              <w:t> </w:t>
            </w:r>
          </w:p>
        </w:tc>
      </w:tr>
      <w:tr w:rsidR="00A90BE4" w:rsidRPr="00877C7B" w:rsidTr="00552D21">
        <w:trPr>
          <w:trHeight w:val="450"/>
        </w:trPr>
        <w:tc>
          <w:tcPr>
            <w:tcW w:w="1673" w:type="pct"/>
            <w:vMerge/>
            <w:vAlign w:val="center"/>
            <w:hideMark/>
          </w:tcPr>
          <w:p w:rsidR="00A90BE4" w:rsidRPr="00877C7B" w:rsidRDefault="00A90BE4" w:rsidP="00A90BE4">
            <w:pPr>
              <w:spacing w:after="0" w:line="240" w:lineRule="auto"/>
              <w:rPr>
                <w:rFonts w:eastAsia="Times New Roman" w:cstheme="minorHAnsi"/>
                <w:b/>
                <w:bCs/>
                <w:sz w:val="20"/>
                <w:szCs w:val="18"/>
              </w:rPr>
            </w:pPr>
          </w:p>
        </w:tc>
        <w:tc>
          <w:tcPr>
            <w:tcW w:w="3327" w:type="pct"/>
            <w:gridSpan w:val="5"/>
            <w:vMerge/>
            <w:vAlign w:val="center"/>
            <w:hideMark/>
          </w:tcPr>
          <w:p w:rsidR="00A90BE4" w:rsidRPr="00877C7B" w:rsidRDefault="00A90BE4" w:rsidP="00A90BE4">
            <w:pPr>
              <w:spacing w:after="0" w:line="240" w:lineRule="auto"/>
              <w:rPr>
                <w:rFonts w:eastAsia="Times New Roman" w:cstheme="minorHAnsi"/>
                <w:sz w:val="18"/>
                <w:szCs w:val="18"/>
              </w:rPr>
            </w:pPr>
          </w:p>
        </w:tc>
      </w:tr>
      <w:tr w:rsidR="00543F4B" w:rsidRPr="00877C7B" w:rsidTr="00A90BE4">
        <w:trPr>
          <w:trHeight w:val="596"/>
        </w:trPr>
        <w:tc>
          <w:tcPr>
            <w:tcW w:w="1673" w:type="pct"/>
            <w:shd w:val="clear" w:color="auto" w:fill="auto"/>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105,0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90,0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90,0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43F4B" w:rsidRPr="00877C7B" w:rsidTr="00A90BE4">
        <w:trPr>
          <w:trHeight w:val="815"/>
        </w:trPr>
        <w:tc>
          <w:tcPr>
            <w:tcW w:w="1673" w:type="pct"/>
            <w:shd w:val="clear" w:color="auto" w:fill="auto"/>
            <w:vAlign w:val="center"/>
            <w:hideMark/>
          </w:tcPr>
          <w:p w:rsidR="00543F4B" w:rsidRPr="00877C7B" w:rsidRDefault="00543F4B" w:rsidP="00543F4B">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75,0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5" w:type="pct"/>
            <w:shd w:val="clear" w:color="auto" w:fill="auto"/>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7" w:type="pct"/>
            <w:shd w:val="clear" w:color="000000" w:fill="FDE9D9"/>
            <w:noWrap/>
            <w:vAlign w:val="center"/>
            <w:hideMark/>
          </w:tcPr>
          <w:p w:rsidR="00543F4B" w:rsidRPr="00877C7B" w:rsidRDefault="00543F4B" w:rsidP="00543F4B">
            <w:pPr>
              <w:spacing w:after="0" w:line="240" w:lineRule="auto"/>
              <w:jc w:val="center"/>
              <w:rPr>
                <w:rFonts w:eastAsia="Times New Roman" w:cstheme="minorHAnsi"/>
                <w:sz w:val="18"/>
                <w:szCs w:val="18"/>
              </w:rPr>
            </w:pPr>
            <w:r w:rsidRPr="00877C7B">
              <w:rPr>
                <w:rFonts w:eastAsia="Times New Roman" w:cstheme="minorHAnsi"/>
                <w:sz w:val="18"/>
                <w:szCs w:val="18"/>
              </w:rPr>
              <w:t>115,0</w:t>
            </w:r>
          </w:p>
        </w:tc>
      </w:tr>
      <w:tr w:rsidR="00A90BE4" w:rsidRPr="00877C7B" w:rsidTr="00A90BE4">
        <w:trPr>
          <w:trHeight w:val="454"/>
        </w:trPr>
        <w:tc>
          <w:tcPr>
            <w:tcW w:w="1673" w:type="pct"/>
            <w:shd w:val="clear" w:color="auto" w:fill="auto"/>
            <w:noWrap/>
            <w:vAlign w:val="center"/>
            <w:hideMark/>
          </w:tcPr>
          <w:p w:rsidR="00A90BE4" w:rsidRPr="00877C7B" w:rsidRDefault="00A90BE4" w:rsidP="00A90BE4">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-40,0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10,0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25,0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25,0</w:t>
            </w:r>
          </w:p>
        </w:tc>
        <w:tc>
          <w:tcPr>
            <w:tcW w:w="667" w:type="pct"/>
            <w:shd w:val="clear" w:color="000000" w:fill="FDE9D9"/>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A90BE4" w:rsidRPr="00877C7B" w:rsidTr="00A90BE4">
        <w:trPr>
          <w:trHeight w:val="524"/>
        </w:trPr>
        <w:tc>
          <w:tcPr>
            <w:tcW w:w="1673" w:type="pct"/>
            <w:shd w:val="clear" w:color="auto" w:fill="auto"/>
            <w:vAlign w:val="center"/>
            <w:hideMark/>
          </w:tcPr>
          <w:p w:rsidR="00A90BE4" w:rsidRPr="00877C7B" w:rsidRDefault="00591D1A" w:rsidP="00A90BE4">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130,0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150,0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115,0</w:t>
            </w:r>
          </w:p>
        </w:tc>
        <w:tc>
          <w:tcPr>
            <w:tcW w:w="667" w:type="pct"/>
            <w:shd w:val="clear" w:color="000000" w:fill="FDE9D9"/>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115,0</w:t>
            </w:r>
          </w:p>
        </w:tc>
      </w:tr>
      <w:tr w:rsidR="00A90BE4" w:rsidRPr="00877C7B" w:rsidTr="00A90BE4">
        <w:trPr>
          <w:trHeight w:val="113"/>
        </w:trPr>
        <w:tc>
          <w:tcPr>
            <w:tcW w:w="1673" w:type="pct"/>
            <w:shd w:val="clear" w:color="auto" w:fill="auto"/>
            <w:noWrap/>
            <w:vAlign w:val="center"/>
            <w:hideMark/>
          </w:tcPr>
          <w:p w:rsidR="00A90BE4" w:rsidRPr="00877C7B" w:rsidRDefault="00A90BE4" w:rsidP="00A90BE4">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15,0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45,0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25,0</w:t>
            </w:r>
          </w:p>
        </w:tc>
        <w:tc>
          <w:tcPr>
            <w:tcW w:w="665" w:type="pct"/>
            <w:shd w:val="clear" w:color="auto" w:fill="auto"/>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25,0</w:t>
            </w:r>
          </w:p>
        </w:tc>
        <w:tc>
          <w:tcPr>
            <w:tcW w:w="667" w:type="pct"/>
            <w:shd w:val="clear" w:color="000000" w:fill="FDE9D9"/>
            <w:noWrap/>
            <w:vAlign w:val="center"/>
            <w:hideMark/>
          </w:tcPr>
          <w:p w:rsidR="00A90BE4" w:rsidRPr="00877C7B" w:rsidRDefault="00A90BE4" w:rsidP="00A90BE4">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591D1A">
            <w:pPr>
              <w:spacing w:after="0" w:line="240" w:lineRule="auto"/>
              <w:jc w:val="center"/>
              <w:rPr>
                <w:rFonts w:eastAsia="Times New Roman" w:cstheme="minorHAnsi"/>
                <w:b/>
                <w:bCs/>
                <w:sz w:val="20"/>
                <w:szCs w:val="18"/>
              </w:rPr>
            </w:pPr>
            <w:r w:rsidRPr="00877C7B">
              <w:rPr>
                <w:rFonts w:eastAsia="Times New Roman" w:cstheme="minorHAnsi"/>
                <w:b/>
                <w:bCs/>
                <w:sz w:val="20"/>
                <w:szCs w:val="18"/>
              </w:rPr>
              <w:t>%</w:t>
            </w:r>
            <w:r w:rsidR="00591D1A" w:rsidRPr="00877C7B">
              <w:rPr>
                <w:rFonts w:eastAsia="Times New Roman" w:cstheme="minorHAnsi"/>
                <w:b/>
                <w:bCs/>
                <w:sz w:val="20"/>
                <w:szCs w:val="18"/>
              </w:rPr>
              <w:t xml:space="preserve"> of GDP </w:t>
            </w:r>
          </w:p>
        </w:tc>
      </w:tr>
      <w:tr w:rsidR="00A90BE4" w:rsidRPr="00877C7B" w:rsidTr="00A90BE4">
        <w:trPr>
          <w:trHeight w:val="315"/>
        </w:trPr>
        <w:tc>
          <w:tcPr>
            <w:tcW w:w="1673" w:type="pc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rPr>
            </w:pPr>
            <w:r w:rsidRPr="00877C7B">
              <w:rPr>
                <w:rFonts w:eastAsia="Times New Roman" w:cstheme="minorHAnsi"/>
                <w:b/>
                <w:bCs/>
                <w:sz w:val="20"/>
                <w:szCs w:val="18"/>
              </w:rPr>
              <w:t>Revenue</w:t>
            </w:r>
          </w:p>
        </w:tc>
        <w:tc>
          <w:tcPr>
            <w:tcW w:w="3327" w:type="pct"/>
            <w:gridSpan w:val="5"/>
            <w:shd w:val="clear" w:color="000000" w:fill="FDE9D9"/>
            <w:noWrap/>
            <w:vAlign w:val="center"/>
            <w:hideMark/>
          </w:tcPr>
          <w:p w:rsidR="00A90BE4" w:rsidRPr="00877C7B" w:rsidRDefault="00A90BE4" w:rsidP="00A90BE4">
            <w:pPr>
              <w:spacing w:after="0" w:line="240" w:lineRule="auto"/>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25,6%</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25,7%</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25,5%</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25,3%</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24,2%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24,7%</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25,4%</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25,5%</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-1,5%</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-1,0%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25,6%</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25,7%</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25,8%</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26,0%</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7" w:type="pct"/>
            <w:shd w:val="clear" w:color="000000" w:fill="FDE9D9"/>
            <w:noWrap/>
            <w:vAlign w:val="center"/>
            <w:hideMark/>
          </w:tcPr>
          <w:p w:rsidR="00591D1A" w:rsidRPr="00877C7B" w:rsidRDefault="00591D1A" w:rsidP="00591D1A">
            <w:pPr>
              <w:spacing w:after="0" w:line="240" w:lineRule="auto"/>
              <w:rPr>
                <w:rFonts w:eastAsia="Times New Roman" w:cstheme="minorHAnsi"/>
              </w:rPr>
            </w:pPr>
            <w:r w:rsidRPr="00877C7B">
              <w:rPr>
                <w:rFonts w:eastAsia="Times New Roman" w:cstheme="minorHAnsi"/>
              </w:rPr>
              <w:t> </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p>
        </w:tc>
      </w:tr>
      <w:tr w:rsidR="00A90BE4" w:rsidRPr="00877C7B" w:rsidTr="00A90BE4">
        <w:trPr>
          <w:trHeight w:val="450"/>
        </w:trPr>
        <w:tc>
          <w:tcPr>
            <w:tcW w:w="1673" w:type="pct"/>
            <w:vMerge w:val="restar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rPr>
            </w:pPr>
            <w:r w:rsidRPr="00877C7B">
              <w:rPr>
                <w:rFonts w:eastAsia="Times New Roman" w:cstheme="minorHAnsi"/>
                <w:b/>
                <w:bCs/>
                <w:sz w:val="20"/>
                <w:szCs w:val="18"/>
              </w:rPr>
              <w:t>Decrease in Non-Financial Assets</w:t>
            </w:r>
          </w:p>
        </w:tc>
        <w:tc>
          <w:tcPr>
            <w:tcW w:w="3327" w:type="pct"/>
            <w:gridSpan w:val="5"/>
            <w:vMerge w:val="restart"/>
            <w:shd w:val="clear" w:color="000000" w:fill="FDE9D9"/>
            <w:noWrap/>
            <w:vAlign w:val="center"/>
            <w:hideMark/>
          </w:tcPr>
          <w:p w:rsidR="00A90BE4" w:rsidRPr="00877C7B" w:rsidRDefault="00A90BE4" w:rsidP="00A90BE4">
            <w:pPr>
              <w:spacing w:after="0" w:line="240" w:lineRule="auto"/>
              <w:rPr>
                <w:rFonts w:eastAsia="Times New Roman" w:cstheme="minorHAnsi"/>
                <w:sz w:val="18"/>
                <w:szCs w:val="18"/>
              </w:rPr>
            </w:pPr>
            <w:r w:rsidRPr="00877C7B">
              <w:rPr>
                <w:rFonts w:eastAsia="Times New Roman" w:cstheme="minorHAnsi"/>
                <w:sz w:val="18"/>
                <w:szCs w:val="18"/>
              </w:rPr>
              <w:t> </w:t>
            </w:r>
          </w:p>
        </w:tc>
      </w:tr>
      <w:tr w:rsidR="00A90BE4" w:rsidRPr="00877C7B" w:rsidTr="00A90BE4">
        <w:trPr>
          <w:trHeight w:val="473"/>
        </w:trPr>
        <w:tc>
          <w:tcPr>
            <w:tcW w:w="1673" w:type="pct"/>
            <w:vMerge/>
            <w:vAlign w:val="center"/>
            <w:hideMark/>
          </w:tcPr>
          <w:p w:rsidR="00A90BE4" w:rsidRPr="00877C7B" w:rsidRDefault="00A90BE4" w:rsidP="00A90BE4">
            <w:pPr>
              <w:spacing w:after="0" w:line="240" w:lineRule="auto"/>
              <w:rPr>
                <w:rFonts w:eastAsia="Times New Roman" w:cstheme="minorHAnsi"/>
                <w:b/>
                <w:bCs/>
                <w:sz w:val="20"/>
                <w:szCs w:val="18"/>
              </w:rPr>
            </w:pPr>
          </w:p>
        </w:tc>
        <w:tc>
          <w:tcPr>
            <w:tcW w:w="3327" w:type="pct"/>
            <w:gridSpan w:val="5"/>
            <w:vMerge/>
            <w:vAlign w:val="center"/>
            <w:hideMark/>
          </w:tcPr>
          <w:p w:rsidR="00A90BE4" w:rsidRPr="00877C7B" w:rsidRDefault="00A90BE4" w:rsidP="00A90BE4">
            <w:pPr>
              <w:spacing w:after="0" w:line="240" w:lineRule="auto"/>
              <w:rPr>
                <w:rFonts w:eastAsia="Times New Roman" w:cstheme="minorHAnsi"/>
                <w:sz w:val="18"/>
                <w:szCs w:val="18"/>
              </w:rPr>
            </w:pPr>
          </w:p>
        </w:tc>
      </w:tr>
      <w:tr w:rsidR="00591D1A" w:rsidRPr="00877C7B" w:rsidTr="00A90BE4">
        <w:trPr>
          <w:trHeight w:val="113"/>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0,4%</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7" w:type="pct"/>
            <w:shd w:val="clear" w:color="000000" w:fill="FDE9D9"/>
            <w:noWrap/>
            <w:vAlign w:val="center"/>
            <w:hideMark/>
          </w:tcPr>
          <w:p w:rsidR="00591D1A" w:rsidRPr="00877C7B" w:rsidRDefault="00591D1A" w:rsidP="00591D1A">
            <w:pPr>
              <w:spacing w:after="0" w:line="240" w:lineRule="auto"/>
              <w:rPr>
                <w:rFonts w:eastAsia="Times New Roman" w:cstheme="minorHAnsi"/>
              </w:rPr>
            </w:pPr>
            <w:r w:rsidRPr="00877C7B">
              <w:rPr>
                <w:rFonts w:eastAsia="Times New Roman" w:cstheme="minorHAnsi"/>
              </w:rPr>
              <w:t> </w:t>
            </w:r>
          </w:p>
        </w:tc>
      </w:tr>
      <w:tr w:rsidR="00A90BE4" w:rsidRPr="00877C7B" w:rsidTr="00432FF5">
        <w:trPr>
          <w:trHeight w:val="315"/>
        </w:trPr>
        <w:tc>
          <w:tcPr>
            <w:tcW w:w="5000" w:type="pct"/>
            <w:gridSpan w:val="6"/>
            <w:shd w:val="clear" w:color="auto" w:fill="auto"/>
            <w:noWrap/>
            <w:vAlign w:val="center"/>
            <w:hideMark/>
          </w:tcPr>
          <w:p w:rsidR="00A90BE4" w:rsidRPr="00877C7B" w:rsidRDefault="00A90BE4" w:rsidP="00A90BE4">
            <w:pPr>
              <w:spacing w:after="0" w:line="240" w:lineRule="auto"/>
              <w:rPr>
                <w:rFonts w:eastAsia="Times New Roman" w:cstheme="minorHAnsi"/>
                <w:sz w:val="20"/>
                <w:szCs w:val="18"/>
              </w:rPr>
            </w:pPr>
            <w:r w:rsidRPr="00877C7B">
              <w:rPr>
                <w:rFonts w:eastAsia="Times New Roman" w:cstheme="minorHAnsi"/>
                <w:sz w:val="20"/>
                <w:szCs w:val="18"/>
              </w:rPr>
              <w:t>  </w:t>
            </w:r>
          </w:p>
        </w:tc>
      </w:tr>
      <w:tr w:rsidR="00A90BE4" w:rsidRPr="00877C7B" w:rsidTr="00A90BE4">
        <w:trPr>
          <w:trHeight w:val="525"/>
        </w:trPr>
        <w:tc>
          <w:tcPr>
            <w:tcW w:w="1673" w:type="pct"/>
            <w:shd w:val="clear" w:color="000000" w:fill="FDE9D9"/>
            <w:vAlign w:val="center"/>
            <w:hideMark/>
          </w:tcPr>
          <w:p w:rsidR="00A90BE4" w:rsidRPr="00877C7B" w:rsidRDefault="00A90BE4" w:rsidP="00A90BE4">
            <w:pPr>
              <w:spacing w:after="0" w:line="240" w:lineRule="auto"/>
              <w:rPr>
                <w:rFonts w:eastAsia="Times New Roman" w:cstheme="minorHAnsi"/>
                <w:b/>
                <w:bCs/>
                <w:sz w:val="20"/>
                <w:szCs w:val="18"/>
              </w:rPr>
            </w:pPr>
            <w:r w:rsidRPr="00877C7B">
              <w:rPr>
                <w:rFonts w:eastAsia="Times New Roman" w:cstheme="minorHAnsi"/>
                <w:b/>
                <w:bCs/>
                <w:sz w:val="20"/>
                <w:szCs w:val="18"/>
              </w:rPr>
              <w:t>Decrease in Financial Assets</w:t>
            </w:r>
          </w:p>
        </w:tc>
        <w:tc>
          <w:tcPr>
            <w:tcW w:w="3327" w:type="pct"/>
            <w:gridSpan w:val="5"/>
            <w:shd w:val="clear" w:color="000000" w:fill="FDE9D9"/>
            <w:noWrap/>
            <w:vAlign w:val="center"/>
            <w:hideMark/>
          </w:tcPr>
          <w:p w:rsidR="00A90BE4" w:rsidRPr="00877C7B" w:rsidRDefault="00A90BE4" w:rsidP="00A90BE4">
            <w:pPr>
              <w:spacing w:after="0" w:line="240" w:lineRule="auto"/>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591D1A" w:rsidRPr="00877C7B" w:rsidTr="00A90BE4">
        <w:trPr>
          <w:trHeight w:val="525"/>
        </w:trPr>
        <w:tc>
          <w:tcPr>
            <w:tcW w:w="1673" w:type="pct"/>
            <w:shd w:val="clear" w:color="auto" w:fill="auto"/>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7" w:type="pct"/>
            <w:shd w:val="clear" w:color="000000" w:fill="FDE9D9"/>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0,2%</w:t>
            </w:r>
          </w:p>
        </w:tc>
      </w:tr>
      <w:tr w:rsidR="00591D1A" w:rsidRPr="00877C7B" w:rsidTr="00A90BE4">
        <w:trPr>
          <w:trHeight w:val="315"/>
        </w:trPr>
        <w:tc>
          <w:tcPr>
            <w:tcW w:w="1673" w:type="pct"/>
            <w:shd w:val="clear" w:color="auto" w:fill="auto"/>
            <w:noWrap/>
            <w:vAlign w:val="center"/>
            <w:hideMark/>
          </w:tcPr>
          <w:p w:rsidR="00591D1A" w:rsidRPr="00877C7B" w:rsidRDefault="00591D1A" w:rsidP="00591D1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591D1A" w:rsidRPr="00877C7B" w:rsidRDefault="00591D1A" w:rsidP="00591D1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7" w:type="pct"/>
            <w:shd w:val="clear" w:color="000000" w:fill="FDE9D9"/>
            <w:noWrap/>
            <w:vAlign w:val="center"/>
            <w:hideMark/>
          </w:tcPr>
          <w:p w:rsidR="00591D1A" w:rsidRPr="00877C7B" w:rsidRDefault="00591D1A" w:rsidP="00591D1A">
            <w:pPr>
              <w:spacing w:after="0" w:line="240" w:lineRule="auto"/>
              <w:rPr>
                <w:rFonts w:eastAsia="Times New Roman" w:cstheme="minorHAnsi"/>
              </w:rPr>
            </w:pPr>
            <w:r w:rsidRPr="00877C7B">
              <w:rPr>
                <w:rFonts w:eastAsia="Times New Roman" w:cstheme="minorHAnsi"/>
              </w:rPr>
              <w:t> </w:t>
            </w:r>
          </w:p>
        </w:tc>
      </w:tr>
    </w:tbl>
    <w:p w:rsidR="008E3F5D" w:rsidRPr="00877C7B" w:rsidRDefault="008E3F5D" w:rsidP="00E70935">
      <w:pPr>
        <w:spacing w:after="240" w:line="240" w:lineRule="auto"/>
        <w:jc w:val="both"/>
        <w:rPr>
          <w:rFonts w:cstheme="minorHAnsi"/>
        </w:rPr>
      </w:pPr>
    </w:p>
    <w:p w:rsidR="00591D1A" w:rsidRPr="00877C7B" w:rsidRDefault="000B53FD" w:rsidP="00877C7B">
      <w:pPr>
        <w:spacing w:after="240" w:line="276" w:lineRule="auto"/>
        <w:ind w:firstLine="720"/>
        <w:jc w:val="both"/>
        <w:rPr>
          <w:rFonts w:cstheme="minorHAnsi"/>
        </w:rPr>
      </w:pPr>
      <w:r w:rsidRPr="00877C7B">
        <w:rPr>
          <w:rFonts w:cstheme="minorHAnsi"/>
        </w:rPr>
        <w:t>Considering higher</w:t>
      </w:r>
      <w:r w:rsidR="00905BD2" w:rsidRPr="00877C7B">
        <w:rPr>
          <w:rFonts w:cstheme="minorHAnsi"/>
        </w:rPr>
        <w:t xml:space="preserve"> expenses due to the </w:t>
      </w:r>
      <w:r w:rsidR="0040002B" w:rsidRPr="00877C7B">
        <w:rPr>
          <w:rFonts w:cstheme="minorHAnsi"/>
        </w:rPr>
        <w:t>pandemic and lower revenue</w:t>
      </w:r>
      <w:r w:rsidRPr="00877C7B">
        <w:rPr>
          <w:rFonts w:cstheme="minorHAnsi"/>
        </w:rPr>
        <w:t xml:space="preserve"> due to the economic slowdown, the forecast of budget deficit financi</w:t>
      </w:r>
      <w:r w:rsidR="0040002B" w:rsidRPr="00877C7B">
        <w:rPr>
          <w:rFonts w:cstheme="minorHAnsi"/>
        </w:rPr>
        <w:t>ng sources for 2021-2024 has</w:t>
      </w:r>
      <w:r w:rsidRPr="00877C7B">
        <w:rPr>
          <w:rFonts w:cstheme="minorHAnsi"/>
        </w:rPr>
        <w:t xml:space="preserve"> been increased – in terms of the new domestic as well as external debt. </w:t>
      </w:r>
      <w:r w:rsidR="00340608" w:rsidRPr="00877C7B">
        <w:rPr>
          <w:rFonts w:cstheme="minorHAnsi"/>
        </w:rPr>
        <w:t>S</w:t>
      </w:r>
      <w:r w:rsidRPr="00877C7B">
        <w:rPr>
          <w:rFonts w:cstheme="minorHAnsi"/>
        </w:rPr>
        <w:t>ignificant growth of external liabilities for 2021 is coming from the fact, that in order to financ</w:t>
      </w:r>
      <w:r w:rsidR="0040002B" w:rsidRPr="00877C7B">
        <w:rPr>
          <w:rFonts w:cstheme="minorHAnsi"/>
        </w:rPr>
        <w:t>e</w:t>
      </w:r>
      <w:r w:rsidRPr="00877C7B">
        <w:rPr>
          <w:rFonts w:cstheme="minorHAnsi"/>
        </w:rPr>
        <w:t xml:space="preserve"> the Eur</w:t>
      </w:r>
      <w:r w:rsidR="00A7150F" w:rsidRPr="00877C7B">
        <w:rPr>
          <w:rFonts w:cstheme="minorHAnsi"/>
        </w:rPr>
        <w:t>obonds in 2021 it is planned to issue the new Eurobonds (around GEL 1,657.0 mln)</w:t>
      </w:r>
      <w:r w:rsidR="00340608" w:rsidRPr="00877C7B">
        <w:rPr>
          <w:rFonts w:cstheme="minorHAnsi"/>
        </w:rPr>
        <w:t>, in the represented version</w:t>
      </w:r>
      <w:r w:rsidR="00F75DF1" w:rsidRPr="00877C7B">
        <w:rPr>
          <w:rFonts w:cstheme="minorHAnsi"/>
        </w:rPr>
        <w:t xml:space="preserve">. </w:t>
      </w:r>
      <w:r w:rsidR="00A7150F" w:rsidRPr="00877C7B">
        <w:rPr>
          <w:rFonts w:cstheme="minorHAnsi"/>
        </w:rPr>
        <w:t xml:space="preserve">The attracted fund to deal with the pandemic is indicated in the new 2020 and 2021 external debt. Moreover, there is no plan </w:t>
      </w:r>
      <w:r w:rsidR="00B55F23" w:rsidRPr="00877C7B">
        <w:rPr>
          <w:rFonts w:cstheme="minorHAnsi"/>
        </w:rPr>
        <w:t xml:space="preserve">to take new loans in </w:t>
      </w:r>
      <w:r w:rsidR="0040002B" w:rsidRPr="00877C7B">
        <w:rPr>
          <w:rFonts w:cstheme="minorHAnsi"/>
        </w:rPr>
        <w:t xml:space="preserve">the </w:t>
      </w:r>
      <w:r w:rsidR="00B55F23" w:rsidRPr="00877C7B">
        <w:rPr>
          <w:rFonts w:cstheme="minorHAnsi"/>
        </w:rPr>
        <w:t xml:space="preserve">domestic market and all necessity will be financed through external sources and </w:t>
      </w:r>
      <w:r w:rsidR="00432FF5" w:rsidRPr="00877C7B">
        <w:rPr>
          <w:rFonts w:cstheme="minorHAnsi"/>
        </w:rPr>
        <w:t xml:space="preserve">accumulated deposits. </w:t>
      </w:r>
    </w:p>
    <w:p w:rsidR="00432FF5" w:rsidRPr="00877C7B" w:rsidRDefault="00432FF5" w:rsidP="00877C7B">
      <w:pPr>
        <w:spacing w:after="240" w:line="276" w:lineRule="auto"/>
        <w:ind w:firstLine="720"/>
        <w:jc w:val="both"/>
        <w:rPr>
          <w:rFonts w:cstheme="minorHAnsi"/>
        </w:rPr>
      </w:pPr>
      <w:r w:rsidRPr="00877C7B">
        <w:rPr>
          <w:rFonts w:cstheme="minorHAnsi"/>
        </w:rPr>
        <w:t>The table below sho</w:t>
      </w:r>
      <w:r w:rsidR="0040002B" w:rsidRPr="00877C7B">
        <w:rPr>
          <w:rFonts w:cstheme="minorHAnsi"/>
        </w:rPr>
        <w:t>ws the forecast for the liabilit</w:t>
      </w:r>
      <w:r w:rsidRPr="00877C7B">
        <w:rPr>
          <w:rFonts w:cstheme="minorHAnsi"/>
        </w:rPr>
        <w:t xml:space="preserve">y growth for 2020-2024: </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17"/>
        <w:gridCol w:w="1278"/>
        <w:gridCol w:w="1278"/>
        <w:gridCol w:w="1278"/>
        <w:gridCol w:w="1278"/>
        <w:gridCol w:w="1278"/>
      </w:tblGrid>
      <w:tr w:rsidR="00432FF5" w:rsidRPr="00877C7B" w:rsidTr="009A39FA">
        <w:trPr>
          <w:trHeight w:val="255"/>
          <w:tblHeader/>
        </w:trPr>
        <w:tc>
          <w:tcPr>
            <w:tcW w:w="1674" w:type="pct"/>
            <w:shd w:val="clear" w:color="auto" w:fill="auto"/>
            <w:noWrap/>
            <w:vAlign w:val="center"/>
            <w:hideMark/>
          </w:tcPr>
          <w:p w:rsidR="00432FF5" w:rsidRPr="00877C7B" w:rsidRDefault="00432FF5" w:rsidP="00D741DD">
            <w:pPr>
              <w:spacing w:after="0" w:line="240" w:lineRule="auto"/>
              <w:rPr>
                <w:rFonts w:eastAsia="Times New Roman" w:cstheme="minorHAnsi"/>
                <w:sz w:val="20"/>
                <w:szCs w:val="18"/>
              </w:rPr>
            </w:pPr>
            <w:r w:rsidRPr="00877C7B">
              <w:rPr>
                <w:rFonts w:eastAsia="Times New Roman" w:cstheme="minorHAnsi"/>
                <w:sz w:val="20"/>
                <w:szCs w:val="18"/>
              </w:rPr>
              <w:t> </w:t>
            </w:r>
            <w:r w:rsidR="009A39FA" w:rsidRPr="00877C7B">
              <w:rPr>
                <w:rFonts w:eastAsia="Times New Roman" w:cstheme="minorHAnsi"/>
                <w:b/>
                <w:color w:val="000000"/>
                <w:sz w:val="20"/>
                <w:szCs w:val="20"/>
              </w:rPr>
              <w:t>Table 10</w:t>
            </w:r>
            <w:r w:rsidRPr="00877C7B">
              <w:rPr>
                <w:rFonts w:eastAsia="Times New Roman" w:cstheme="minorHAnsi"/>
                <w:b/>
                <w:color w:val="000000"/>
                <w:sz w:val="20"/>
                <w:szCs w:val="20"/>
              </w:rPr>
              <w:t xml:space="preserve">. </w:t>
            </w:r>
            <w:r w:rsidR="00D741DD" w:rsidRPr="00877C7B">
              <w:rPr>
                <w:rFonts w:eastAsia="Times New Roman" w:cstheme="minorHAnsi"/>
                <w:b/>
                <w:color w:val="000000"/>
                <w:sz w:val="20"/>
                <w:szCs w:val="20"/>
              </w:rPr>
              <w:t>Liability</w:t>
            </w:r>
            <w:r w:rsidRPr="00877C7B">
              <w:rPr>
                <w:rFonts w:eastAsia="Times New Roman" w:cstheme="minorHAnsi"/>
                <w:b/>
                <w:color w:val="000000"/>
                <w:sz w:val="20"/>
                <w:szCs w:val="20"/>
              </w:rPr>
              <w:t xml:space="preserve"> </w:t>
            </w:r>
            <w:r w:rsidR="00101F50" w:rsidRPr="00877C7B">
              <w:rPr>
                <w:rFonts w:eastAsia="Times New Roman" w:cstheme="minorHAnsi"/>
                <w:b/>
                <w:color w:val="000000"/>
                <w:sz w:val="20"/>
                <w:szCs w:val="20"/>
              </w:rPr>
              <w:t xml:space="preserve">Gwoth </w:t>
            </w:r>
            <w:r w:rsidRPr="00877C7B">
              <w:rPr>
                <w:rFonts w:eastAsia="Times New Roman" w:cstheme="minorHAnsi"/>
                <w:b/>
                <w:color w:val="000000"/>
                <w:sz w:val="20"/>
                <w:szCs w:val="20"/>
              </w:rPr>
              <w:t>Forecast</w:t>
            </w:r>
          </w:p>
        </w:tc>
        <w:tc>
          <w:tcPr>
            <w:tcW w:w="665" w:type="pct"/>
            <w:shd w:val="clear" w:color="auto" w:fill="auto"/>
            <w:noWrap/>
            <w:vAlign w:val="center"/>
          </w:tcPr>
          <w:p w:rsidR="00432FF5" w:rsidRPr="00877C7B" w:rsidRDefault="00432FF5" w:rsidP="00432FF5">
            <w:pPr>
              <w:spacing w:after="0" w:line="240" w:lineRule="auto"/>
              <w:jc w:val="center"/>
              <w:rPr>
                <w:rFonts w:eastAsia="Times New Roman" w:cstheme="minorHAnsi"/>
                <w:b/>
                <w:bCs/>
                <w:sz w:val="18"/>
                <w:szCs w:val="18"/>
              </w:rPr>
            </w:pPr>
          </w:p>
        </w:tc>
        <w:tc>
          <w:tcPr>
            <w:tcW w:w="665" w:type="pct"/>
            <w:shd w:val="clear" w:color="auto" w:fill="auto"/>
            <w:noWrap/>
            <w:vAlign w:val="center"/>
          </w:tcPr>
          <w:p w:rsidR="00432FF5" w:rsidRPr="00877C7B" w:rsidRDefault="00432FF5" w:rsidP="00432FF5">
            <w:pPr>
              <w:spacing w:after="0" w:line="240" w:lineRule="auto"/>
              <w:jc w:val="center"/>
              <w:rPr>
                <w:rFonts w:eastAsia="Times New Roman" w:cstheme="minorHAnsi"/>
                <w:b/>
                <w:bCs/>
                <w:sz w:val="18"/>
                <w:szCs w:val="18"/>
              </w:rPr>
            </w:pPr>
          </w:p>
        </w:tc>
        <w:tc>
          <w:tcPr>
            <w:tcW w:w="665" w:type="pct"/>
            <w:shd w:val="clear" w:color="auto" w:fill="auto"/>
            <w:noWrap/>
            <w:vAlign w:val="center"/>
          </w:tcPr>
          <w:p w:rsidR="00432FF5" w:rsidRPr="00877C7B" w:rsidRDefault="00432FF5" w:rsidP="00432FF5">
            <w:pPr>
              <w:spacing w:after="0" w:line="240" w:lineRule="auto"/>
              <w:jc w:val="center"/>
              <w:rPr>
                <w:rFonts w:eastAsia="Times New Roman" w:cstheme="minorHAnsi"/>
                <w:b/>
                <w:bCs/>
                <w:sz w:val="18"/>
                <w:szCs w:val="18"/>
              </w:rPr>
            </w:pPr>
          </w:p>
        </w:tc>
        <w:tc>
          <w:tcPr>
            <w:tcW w:w="665" w:type="pct"/>
            <w:shd w:val="clear" w:color="auto" w:fill="auto"/>
            <w:noWrap/>
            <w:vAlign w:val="center"/>
          </w:tcPr>
          <w:p w:rsidR="00432FF5" w:rsidRPr="00877C7B" w:rsidRDefault="00432FF5" w:rsidP="00432FF5">
            <w:pPr>
              <w:spacing w:after="0" w:line="240" w:lineRule="auto"/>
              <w:jc w:val="center"/>
              <w:rPr>
                <w:rFonts w:eastAsia="Times New Roman" w:cstheme="minorHAnsi"/>
                <w:b/>
                <w:bCs/>
                <w:sz w:val="18"/>
                <w:szCs w:val="18"/>
              </w:rPr>
            </w:pPr>
          </w:p>
        </w:tc>
        <w:tc>
          <w:tcPr>
            <w:tcW w:w="665" w:type="pct"/>
            <w:shd w:val="clear" w:color="000000" w:fill="FDE9D9"/>
            <w:noWrap/>
            <w:vAlign w:val="center"/>
          </w:tcPr>
          <w:p w:rsidR="00432FF5" w:rsidRPr="00877C7B" w:rsidRDefault="00432FF5" w:rsidP="00432FF5">
            <w:pPr>
              <w:spacing w:after="0" w:line="240" w:lineRule="auto"/>
              <w:jc w:val="center"/>
              <w:rPr>
                <w:rFonts w:eastAsia="Times New Roman" w:cstheme="minorHAnsi"/>
                <w:b/>
                <w:bCs/>
                <w:sz w:val="18"/>
                <w:szCs w:val="18"/>
              </w:rPr>
            </w:pPr>
          </w:p>
        </w:tc>
      </w:tr>
      <w:tr w:rsidR="009A39FA" w:rsidRPr="00877C7B" w:rsidTr="00432FF5">
        <w:trPr>
          <w:trHeight w:val="255"/>
          <w:tblHeader/>
        </w:trPr>
        <w:tc>
          <w:tcPr>
            <w:tcW w:w="1674" w:type="pct"/>
            <w:shd w:val="clear" w:color="auto" w:fill="auto"/>
            <w:noWrap/>
            <w:vAlign w:val="center"/>
            <w:hideMark/>
          </w:tcPr>
          <w:p w:rsidR="009A39FA" w:rsidRPr="00877C7B" w:rsidRDefault="009A39FA" w:rsidP="009A39FA">
            <w:pPr>
              <w:spacing w:after="0" w:line="240" w:lineRule="auto"/>
              <w:rPr>
                <w:rFonts w:eastAsia="Times New Roman" w:cstheme="minorHAnsi"/>
                <w:sz w:val="20"/>
                <w:szCs w:val="18"/>
              </w:rPr>
            </w:pPr>
            <w:r w:rsidRPr="00877C7B">
              <w:rPr>
                <w:rFonts w:eastAsia="Times New Roman" w:cstheme="minorHAnsi"/>
                <w:sz w:val="20"/>
                <w:szCs w:val="18"/>
              </w:rPr>
              <w:t> </w:t>
            </w:r>
            <w:r w:rsidRPr="00877C7B">
              <w:rPr>
                <w:rFonts w:cstheme="minorHAnsi"/>
                <w:b/>
                <w:sz w:val="20"/>
              </w:rPr>
              <w:t xml:space="preserve">Million GEL </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b/>
                <w:bCs/>
                <w:sz w:val="20"/>
                <w:szCs w:val="18"/>
              </w:rPr>
            </w:pPr>
            <w:r w:rsidRPr="00877C7B">
              <w:rPr>
                <w:rFonts w:eastAsia="Times New Roman" w:cstheme="minorHAnsi"/>
                <w:b/>
                <w:bCs/>
                <w:sz w:val="20"/>
                <w:szCs w:val="18"/>
              </w:rPr>
              <w:t>2020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b/>
                <w:bCs/>
                <w:sz w:val="20"/>
                <w:szCs w:val="18"/>
              </w:rPr>
            </w:pPr>
            <w:r w:rsidRPr="00877C7B">
              <w:rPr>
                <w:rFonts w:eastAsia="Times New Roman" w:cstheme="minorHAnsi"/>
                <w:b/>
                <w:bCs/>
                <w:sz w:val="20"/>
                <w:szCs w:val="18"/>
              </w:rPr>
              <w:t>2021</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b/>
                <w:bCs/>
                <w:sz w:val="20"/>
                <w:szCs w:val="18"/>
              </w:rPr>
            </w:pPr>
            <w:r w:rsidRPr="00877C7B">
              <w:rPr>
                <w:rFonts w:eastAsia="Times New Roman" w:cstheme="minorHAnsi"/>
                <w:b/>
                <w:bCs/>
                <w:sz w:val="20"/>
                <w:szCs w:val="18"/>
              </w:rPr>
              <w:t>2022</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b/>
                <w:bCs/>
                <w:sz w:val="20"/>
                <w:szCs w:val="18"/>
              </w:rPr>
            </w:pPr>
            <w:r w:rsidRPr="00877C7B">
              <w:rPr>
                <w:rFonts w:eastAsia="Times New Roman" w:cstheme="minorHAnsi"/>
                <w:b/>
                <w:bCs/>
                <w:sz w:val="20"/>
                <w:szCs w:val="18"/>
              </w:rPr>
              <w:t>2023</w:t>
            </w:r>
          </w:p>
        </w:tc>
        <w:tc>
          <w:tcPr>
            <w:tcW w:w="665" w:type="pct"/>
            <w:shd w:val="clear" w:color="000000" w:fill="FDE9D9"/>
            <w:noWrap/>
            <w:vAlign w:val="center"/>
            <w:hideMark/>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b/>
                <w:bCs/>
                <w:sz w:val="20"/>
                <w:szCs w:val="18"/>
              </w:rPr>
              <w:t>2024</w:t>
            </w:r>
          </w:p>
        </w:tc>
      </w:tr>
      <w:tr w:rsidR="009A39FA" w:rsidRPr="00877C7B" w:rsidTr="00432FF5">
        <w:trPr>
          <w:trHeight w:val="255"/>
          <w:tblHeader/>
        </w:trPr>
        <w:tc>
          <w:tcPr>
            <w:tcW w:w="1674" w:type="pct"/>
            <w:shd w:val="clear" w:color="auto" w:fill="auto"/>
            <w:noWrap/>
            <w:vAlign w:val="center"/>
          </w:tcPr>
          <w:p w:rsidR="009A39FA" w:rsidRPr="00877C7B" w:rsidRDefault="009A39FA" w:rsidP="009A39FA">
            <w:pPr>
              <w:spacing w:after="0" w:line="240" w:lineRule="auto"/>
              <w:rPr>
                <w:rFonts w:eastAsia="Times New Roman" w:cstheme="minorHAnsi"/>
                <w:sz w:val="20"/>
                <w:szCs w:val="18"/>
              </w:rPr>
            </w:pPr>
          </w:p>
        </w:tc>
        <w:tc>
          <w:tcPr>
            <w:tcW w:w="665" w:type="pct"/>
            <w:shd w:val="clear" w:color="auto" w:fill="auto"/>
            <w:noWrap/>
            <w:vAlign w:val="center"/>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Expected</w:t>
            </w:r>
          </w:p>
        </w:tc>
        <w:tc>
          <w:tcPr>
            <w:tcW w:w="665" w:type="pct"/>
            <w:shd w:val="clear" w:color="auto" w:fill="auto"/>
            <w:noWrap/>
            <w:vAlign w:val="center"/>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000000" w:fill="FDE9D9"/>
            <w:noWrap/>
            <w:vAlign w:val="center"/>
          </w:tcPr>
          <w:p w:rsidR="009A39FA" w:rsidRPr="00877C7B" w:rsidRDefault="009A39FA" w:rsidP="009A39FA">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r>
      <w:tr w:rsidR="009A39FA" w:rsidRPr="00877C7B" w:rsidTr="00432FF5">
        <w:trPr>
          <w:trHeight w:val="270"/>
        </w:trPr>
        <w:tc>
          <w:tcPr>
            <w:tcW w:w="1674" w:type="pct"/>
            <w:shd w:val="clear" w:color="auto" w:fill="auto"/>
            <w:noWrap/>
            <w:vAlign w:val="center"/>
            <w:hideMark/>
          </w:tcPr>
          <w:p w:rsidR="009A39FA" w:rsidRPr="00877C7B" w:rsidRDefault="009A39FA" w:rsidP="009A39FA">
            <w:pPr>
              <w:spacing w:after="0" w:line="240" w:lineRule="auto"/>
              <w:rPr>
                <w:rFonts w:eastAsia="Times New Roman" w:cstheme="minorHAnsi"/>
                <w:sz w:val="20"/>
                <w:szCs w:val="18"/>
              </w:rPr>
            </w:pPr>
            <w:r w:rsidRPr="00877C7B">
              <w:rPr>
                <w:rFonts w:eastAsia="Times New Roman" w:cstheme="minorHAnsi"/>
                <w:sz w:val="20"/>
                <w:szCs w:val="18"/>
              </w:rPr>
              <w:t> </w:t>
            </w:r>
          </w:p>
        </w:tc>
        <w:tc>
          <w:tcPr>
            <w:tcW w:w="665" w:type="pct"/>
            <w:shd w:val="clear" w:color="auto" w:fill="auto"/>
            <w:noWrap/>
            <w:vAlign w:val="center"/>
            <w:hideMark/>
          </w:tcPr>
          <w:p w:rsidR="009A39FA" w:rsidRPr="00877C7B" w:rsidRDefault="009A39FA" w:rsidP="009A39FA">
            <w:pPr>
              <w:spacing w:after="0" w:line="240" w:lineRule="auto"/>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000000" w:fill="FDE9D9"/>
            <w:vAlign w:val="center"/>
            <w:hideMark/>
          </w:tcPr>
          <w:p w:rsidR="009A39FA" w:rsidRPr="00877C7B" w:rsidRDefault="006F0D69" w:rsidP="009A39FA">
            <w:pPr>
              <w:spacing w:after="0" w:line="240" w:lineRule="auto"/>
              <w:rPr>
                <w:rFonts w:eastAsia="Times New Roman" w:cstheme="minorHAnsi"/>
                <w:b/>
                <w:bCs/>
                <w:sz w:val="20"/>
                <w:szCs w:val="18"/>
              </w:rPr>
            </w:pPr>
            <w:r w:rsidRPr="00877C7B">
              <w:rPr>
                <w:rFonts w:eastAsia="Times New Roman" w:cstheme="minorHAnsi"/>
                <w:b/>
                <w:bCs/>
                <w:sz w:val="20"/>
                <w:szCs w:val="18"/>
              </w:rPr>
              <w:t xml:space="preserve">Liability growth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r>
      <w:tr w:rsidR="009A39FA" w:rsidRPr="00877C7B" w:rsidTr="00432FF5">
        <w:trPr>
          <w:trHeight w:val="510"/>
        </w:trPr>
        <w:tc>
          <w:tcPr>
            <w:tcW w:w="1674" w:type="pct"/>
            <w:shd w:val="clear" w:color="auto" w:fill="auto"/>
            <w:vAlign w:val="center"/>
            <w:hideMark/>
          </w:tcPr>
          <w:p w:rsidR="009A39FA" w:rsidRPr="00877C7B" w:rsidRDefault="009A39FA"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2020-2023 </w:t>
            </w:r>
            <w:r w:rsidR="006F0D69" w:rsidRPr="00877C7B">
              <w:rPr>
                <w:rFonts w:eastAsia="Times New Roman" w:cstheme="minorHAnsi"/>
                <w:sz w:val="20"/>
                <w:szCs w:val="18"/>
              </w:rPr>
              <w:t xml:space="preserve">forecast </w:t>
            </w:r>
            <w:r w:rsidRPr="00877C7B">
              <w:rPr>
                <w:rFonts w:eastAsia="Times New Roman" w:cstheme="minorHAnsi"/>
                <w:sz w:val="20"/>
                <w:szCs w:val="18"/>
              </w:rPr>
              <w:t>(</w:t>
            </w:r>
            <w:r w:rsidR="006F0D69" w:rsidRPr="00877C7B">
              <w:rPr>
                <w:rFonts w:eastAsia="Times New Roman" w:cstheme="minorHAnsi"/>
                <w:sz w:val="20"/>
                <w:szCs w:val="18"/>
              </w:rPr>
              <w:t xml:space="preserve">December </w:t>
            </w:r>
            <w:r w:rsidRPr="00877C7B">
              <w:rPr>
                <w:rFonts w:eastAsia="Times New Roman" w:cstheme="minorHAnsi"/>
                <w:sz w:val="20"/>
                <w:szCs w:val="18"/>
              </w:rPr>
              <w:t>2019)</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3 067,0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3 835,0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2 941,0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3 135,0</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r>
      <w:tr w:rsidR="009A39FA" w:rsidRPr="00877C7B" w:rsidTr="00432FF5">
        <w:trPr>
          <w:trHeight w:val="510"/>
        </w:trPr>
        <w:tc>
          <w:tcPr>
            <w:tcW w:w="1674" w:type="pct"/>
            <w:shd w:val="clear" w:color="auto" w:fill="auto"/>
            <w:vAlign w:val="center"/>
            <w:hideMark/>
          </w:tcPr>
          <w:p w:rsidR="009A39FA" w:rsidRPr="00877C7B" w:rsidRDefault="009A39FA"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6F0D69" w:rsidRPr="00877C7B">
              <w:rPr>
                <w:rFonts w:eastAsia="Times New Roman" w:cstheme="minorHAnsi"/>
                <w:sz w:val="20"/>
                <w:szCs w:val="18"/>
              </w:rPr>
              <w:t xml:space="preserve">forecast </w:t>
            </w:r>
            <w:r w:rsidRPr="00877C7B">
              <w:rPr>
                <w:rFonts w:eastAsia="Times New Roman" w:cstheme="minorHAnsi"/>
                <w:sz w:val="20"/>
                <w:szCs w:val="18"/>
              </w:rPr>
              <w:t>(</w:t>
            </w:r>
            <w:r w:rsidR="006F0D69" w:rsidRPr="00877C7B">
              <w:rPr>
                <w:rFonts w:eastAsia="Times New Roman" w:cstheme="minorHAnsi"/>
                <w:sz w:val="20"/>
                <w:szCs w:val="18"/>
              </w:rPr>
              <w:t xml:space="preserve">July </w:t>
            </w:r>
            <w:r w:rsidRPr="00877C7B">
              <w:rPr>
                <w:rFonts w:eastAsia="Times New Roman" w:cstheme="minorHAnsi"/>
                <w:sz w:val="20"/>
                <w:szCs w:val="18"/>
              </w:rPr>
              <w:t>2020)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8 038,0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4 900,0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3 600,0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3 500,0</w:t>
            </w:r>
          </w:p>
        </w:tc>
        <w:tc>
          <w:tcPr>
            <w:tcW w:w="665" w:type="pct"/>
            <w:shd w:val="clear" w:color="000000" w:fill="FDE9D9"/>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3 500,0</w:t>
            </w:r>
          </w:p>
        </w:tc>
      </w:tr>
      <w:tr w:rsidR="009A39FA" w:rsidRPr="00877C7B" w:rsidTr="00432FF5">
        <w:trPr>
          <w:trHeight w:val="300"/>
        </w:trPr>
        <w:tc>
          <w:tcPr>
            <w:tcW w:w="1674" w:type="pct"/>
            <w:shd w:val="clear" w:color="auto" w:fill="auto"/>
            <w:noWrap/>
            <w:vAlign w:val="center"/>
            <w:hideMark/>
          </w:tcPr>
          <w:p w:rsidR="009A39FA" w:rsidRPr="00877C7B" w:rsidRDefault="006F0D69" w:rsidP="009A39F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4 971,0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1 065,0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659,0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365,0</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r>
      <w:tr w:rsidR="009A39FA" w:rsidRPr="00877C7B" w:rsidTr="00432FF5">
        <w:trPr>
          <w:trHeight w:val="510"/>
        </w:trPr>
        <w:tc>
          <w:tcPr>
            <w:tcW w:w="1674" w:type="pct"/>
            <w:shd w:val="clear" w:color="auto" w:fill="auto"/>
            <w:vAlign w:val="center"/>
            <w:hideMark/>
          </w:tcPr>
          <w:p w:rsidR="009A39FA" w:rsidRPr="00877C7B" w:rsidRDefault="009A39FA"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6F0D69" w:rsidRPr="00877C7B">
              <w:rPr>
                <w:rFonts w:eastAsia="Times New Roman" w:cstheme="minorHAnsi"/>
                <w:sz w:val="20"/>
                <w:szCs w:val="18"/>
              </w:rPr>
              <w:t xml:space="preserve">forecast </w:t>
            </w:r>
            <w:r w:rsidRPr="00877C7B">
              <w:rPr>
                <w:rFonts w:eastAsia="Times New Roman" w:cstheme="minorHAnsi"/>
                <w:sz w:val="20"/>
                <w:szCs w:val="18"/>
              </w:rPr>
              <w:t>(</w:t>
            </w:r>
            <w:r w:rsidR="006F0D69" w:rsidRPr="00877C7B">
              <w:rPr>
                <w:rFonts w:eastAsia="Times New Roman" w:cstheme="minorHAnsi"/>
                <w:sz w:val="20"/>
                <w:szCs w:val="18"/>
              </w:rPr>
              <w:t xml:space="preserve">November </w:t>
            </w:r>
            <w:r w:rsidRPr="00877C7B">
              <w:rPr>
                <w:rFonts w:eastAsia="Times New Roman" w:cstheme="minorHAnsi"/>
                <w:sz w:val="20"/>
                <w:szCs w:val="18"/>
              </w:rPr>
              <w:t>2020)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7 175,0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5 279,0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3 145,0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3 675,0</w:t>
            </w:r>
          </w:p>
        </w:tc>
        <w:tc>
          <w:tcPr>
            <w:tcW w:w="665" w:type="pct"/>
            <w:shd w:val="clear" w:color="000000" w:fill="FDE9D9"/>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4 140,0</w:t>
            </w:r>
          </w:p>
        </w:tc>
      </w:tr>
      <w:tr w:rsidR="009A39FA" w:rsidRPr="00877C7B" w:rsidTr="00432FF5">
        <w:trPr>
          <w:trHeight w:val="255"/>
        </w:trPr>
        <w:tc>
          <w:tcPr>
            <w:tcW w:w="1674" w:type="pct"/>
            <w:shd w:val="clear" w:color="auto" w:fill="auto"/>
            <w:noWrap/>
            <w:vAlign w:val="center"/>
            <w:hideMark/>
          </w:tcPr>
          <w:p w:rsidR="009A39FA" w:rsidRPr="00877C7B" w:rsidRDefault="006F0D69" w:rsidP="009A39F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4 108,0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1 444,0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204,0</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540,0</w:t>
            </w:r>
          </w:p>
        </w:tc>
        <w:tc>
          <w:tcPr>
            <w:tcW w:w="665" w:type="pct"/>
            <w:shd w:val="clear" w:color="000000" w:fill="FDE9D9"/>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000000" w:fill="B1A0C7"/>
            <w:noWrap/>
            <w:vAlign w:val="center"/>
            <w:hideMark/>
          </w:tcPr>
          <w:p w:rsidR="009A39FA" w:rsidRPr="00877C7B" w:rsidRDefault="000E62E9" w:rsidP="006F0D69">
            <w:pPr>
              <w:spacing w:after="0" w:line="240" w:lineRule="auto"/>
              <w:rPr>
                <w:rFonts w:eastAsia="Times New Roman" w:cstheme="minorHAnsi"/>
                <w:b/>
                <w:bCs/>
                <w:sz w:val="20"/>
                <w:szCs w:val="20"/>
              </w:rPr>
            </w:pPr>
            <w:r w:rsidRPr="00877C7B">
              <w:rPr>
                <w:rFonts w:eastAsia="Times New Roman" w:cstheme="minorHAnsi"/>
                <w:b/>
                <w:bCs/>
                <w:sz w:val="20"/>
                <w:szCs w:val="20"/>
              </w:rPr>
              <w:t xml:space="preserve">        D</w:t>
            </w:r>
            <w:r w:rsidR="006F0D69" w:rsidRPr="00877C7B">
              <w:rPr>
                <w:rFonts w:eastAsia="Times New Roman" w:cstheme="minorHAnsi"/>
                <w:b/>
                <w:bCs/>
                <w:sz w:val="20"/>
                <w:szCs w:val="20"/>
              </w:rPr>
              <w:t>omestic</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1 200,0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935,0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935,0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935,0</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1 850,0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1 500,0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1 500,0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1 500,0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1 500,0</w:t>
            </w:r>
          </w:p>
        </w:tc>
      </w:tr>
      <w:tr w:rsidR="006F0D69" w:rsidRPr="00877C7B" w:rsidTr="00432FF5">
        <w:trPr>
          <w:trHeight w:val="30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650,0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565,0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565,0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565,0</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1 850,0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1 000,0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1 200,0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1 500,0</w:t>
            </w:r>
          </w:p>
        </w:tc>
      </w:tr>
      <w:tr w:rsidR="006F0D69" w:rsidRPr="00877C7B" w:rsidTr="00432FF5">
        <w:trPr>
          <w:trHeight w:val="255"/>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650,0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-935,0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265,0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000000" w:fill="B1A0C7"/>
            <w:noWrap/>
            <w:vAlign w:val="center"/>
            <w:hideMark/>
          </w:tcPr>
          <w:p w:rsidR="009A39FA" w:rsidRPr="00877C7B" w:rsidRDefault="000E62E9" w:rsidP="009A39FA">
            <w:pPr>
              <w:spacing w:after="0" w:line="240" w:lineRule="auto"/>
              <w:rPr>
                <w:rFonts w:eastAsia="Times New Roman" w:cstheme="minorHAnsi"/>
                <w:b/>
                <w:bCs/>
                <w:sz w:val="20"/>
                <w:szCs w:val="20"/>
              </w:rPr>
            </w:pPr>
            <w:r w:rsidRPr="00877C7B">
              <w:rPr>
                <w:rFonts w:eastAsia="Times New Roman" w:cstheme="minorHAnsi"/>
                <w:b/>
                <w:bCs/>
                <w:sz w:val="20"/>
                <w:szCs w:val="20"/>
              </w:rPr>
              <w:t xml:space="preserve">        E</w:t>
            </w:r>
            <w:r w:rsidR="006F0D69" w:rsidRPr="00877C7B">
              <w:rPr>
                <w:rFonts w:eastAsia="Times New Roman" w:cstheme="minorHAnsi"/>
                <w:b/>
                <w:bCs/>
                <w:sz w:val="20"/>
                <w:szCs w:val="20"/>
              </w:rPr>
              <w:t>xternal</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1 867,0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2 900,0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2 006,0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2 200,0</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6 188,0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3 400,0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2 100,0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2 000,0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2 000,0</w:t>
            </w:r>
          </w:p>
        </w:tc>
      </w:tr>
      <w:tr w:rsidR="006F0D69" w:rsidRPr="00877C7B" w:rsidTr="00432FF5">
        <w:trPr>
          <w:trHeight w:val="30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4 321,0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500,0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94,0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-200,0</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5 325,0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5 279,0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2 145,0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2 475,0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rPr>
            </w:pPr>
            <w:r w:rsidRPr="00877C7B">
              <w:rPr>
                <w:rFonts w:eastAsia="Times New Roman" w:cstheme="minorHAnsi"/>
              </w:rPr>
              <w:t>2 640,0</w:t>
            </w:r>
          </w:p>
        </w:tc>
      </w:tr>
      <w:tr w:rsidR="006F0D69" w:rsidRPr="00877C7B" w:rsidTr="00432FF5">
        <w:trPr>
          <w:trHeight w:val="27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3 458,0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2 379,0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139,0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275,0</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auto" w:fill="auto"/>
            <w:noWrap/>
            <w:vAlign w:val="center"/>
            <w:hideMark/>
          </w:tcPr>
          <w:p w:rsidR="009A39FA" w:rsidRPr="00877C7B" w:rsidRDefault="009A39FA" w:rsidP="006F0D69">
            <w:pPr>
              <w:spacing w:after="0" w:line="240" w:lineRule="auto"/>
              <w:rPr>
                <w:rFonts w:eastAsia="Times New Roman" w:cstheme="minorHAnsi"/>
                <w:b/>
                <w:bCs/>
                <w:sz w:val="20"/>
                <w:szCs w:val="18"/>
              </w:rPr>
            </w:pPr>
            <w:r w:rsidRPr="00877C7B">
              <w:rPr>
                <w:rFonts w:eastAsia="Times New Roman" w:cstheme="minorHAnsi"/>
                <w:b/>
                <w:bCs/>
                <w:sz w:val="20"/>
                <w:szCs w:val="18"/>
              </w:rPr>
              <w:t xml:space="preserve">% </w:t>
            </w:r>
            <w:r w:rsidR="006F0D69" w:rsidRPr="00877C7B">
              <w:rPr>
                <w:rFonts w:eastAsia="Times New Roman" w:cstheme="minorHAnsi"/>
                <w:b/>
                <w:bCs/>
                <w:sz w:val="20"/>
                <w:szCs w:val="18"/>
              </w:rPr>
              <w:t>of GDP</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665" w:type="pct"/>
            <w:shd w:val="clear" w:color="auto" w:fill="auto"/>
            <w:noWrap/>
            <w:vAlign w:val="center"/>
            <w:hideMark/>
          </w:tcPr>
          <w:p w:rsidR="009A39FA" w:rsidRPr="00877C7B" w:rsidRDefault="009A39FA" w:rsidP="009A39FA">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r>
      <w:tr w:rsidR="009A39FA" w:rsidRPr="00877C7B" w:rsidTr="00432FF5">
        <w:trPr>
          <w:trHeight w:val="300"/>
        </w:trPr>
        <w:tc>
          <w:tcPr>
            <w:tcW w:w="1674" w:type="pct"/>
            <w:shd w:val="clear" w:color="000000" w:fill="FDE9D9"/>
            <w:vAlign w:val="center"/>
            <w:hideMark/>
          </w:tcPr>
          <w:p w:rsidR="009A39FA" w:rsidRPr="00877C7B" w:rsidRDefault="006F0D69" w:rsidP="009A39FA">
            <w:pPr>
              <w:spacing w:after="0" w:line="240" w:lineRule="auto"/>
              <w:rPr>
                <w:rFonts w:eastAsia="Times New Roman" w:cstheme="minorHAnsi"/>
                <w:b/>
                <w:bCs/>
                <w:sz w:val="20"/>
                <w:szCs w:val="18"/>
              </w:rPr>
            </w:pPr>
            <w:r w:rsidRPr="00877C7B">
              <w:rPr>
                <w:rFonts w:eastAsia="Times New Roman" w:cstheme="minorHAnsi"/>
                <w:b/>
                <w:bCs/>
                <w:sz w:val="20"/>
                <w:szCs w:val="18"/>
              </w:rPr>
              <w:t>Liability growth</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c>
          <w:tcPr>
            <w:tcW w:w="665" w:type="pct"/>
            <w:shd w:val="clear" w:color="000000" w:fill="FDE9D9"/>
            <w:noWrap/>
            <w:vAlign w:val="center"/>
            <w:hideMark/>
          </w:tcPr>
          <w:p w:rsidR="009A39FA" w:rsidRPr="00877C7B" w:rsidRDefault="009A39FA" w:rsidP="009A39FA">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5,8%</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4,7%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4,6%</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16,0%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5,4%</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5,0%</w:t>
            </w:r>
          </w:p>
        </w:tc>
      </w:tr>
      <w:tr w:rsidR="006F0D69" w:rsidRPr="00877C7B" w:rsidTr="00432FF5">
        <w:trPr>
          <w:trHeight w:val="30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10,2%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0,8%</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14,5%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5,4%</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5,8%</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6,0%</w:t>
            </w:r>
          </w:p>
        </w:tc>
      </w:tr>
      <w:tr w:rsidR="006F0D69" w:rsidRPr="00877C7B" w:rsidTr="00432FF5">
        <w:trPr>
          <w:trHeight w:val="255"/>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8,7%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1,2%</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000000" w:fill="B1A0C7"/>
            <w:noWrap/>
            <w:vAlign w:val="center"/>
            <w:hideMark/>
          </w:tcPr>
          <w:p w:rsidR="009A39FA" w:rsidRPr="00877C7B" w:rsidRDefault="000E62E9" w:rsidP="009A39FA">
            <w:pPr>
              <w:spacing w:after="0" w:line="240" w:lineRule="auto"/>
              <w:rPr>
                <w:rFonts w:eastAsia="Times New Roman" w:cstheme="minorHAnsi"/>
                <w:b/>
                <w:bCs/>
                <w:sz w:val="20"/>
                <w:szCs w:val="20"/>
              </w:rPr>
            </w:pPr>
            <w:r w:rsidRPr="00877C7B">
              <w:rPr>
                <w:rFonts w:eastAsia="Times New Roman" w:cstheme="minorHAnsi"/>
                <w:b/>
                <w:bCs/>
                <w:sz w:val="20"/>
                <w:szCs w:val="20"/>
              </w:rPr>
              <w:t xml:space="preserve">        D</w:t>
            </w:r>
            <w:r w:rsidR="006F0D69" w:rsidRPr="00877C7B">
              <w:rPr>
                <w:rFonts w:eastAsia="Times New Roman" w:cstheme="minorHAnsi"/>
                <w:b/>
                <w:bCs/>
                <w:sz w:val="20"/>
                <w:szCs w:val="20"/>
              </w:rPr>
              <w:t>omestic</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1,6%</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1,4%</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2,8%</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2,3%</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2,1%</w:t>
            </w:r>
          </w:p>
        </w:tc>
      </w:tr>
      <w:tr w:rsidR="006F0D69" w:rsidRPr="00877C7B" w:rsidTr="00432FF5">
        <w:trPr>
          <w:trHeight w:val="30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1,4%</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1,1%</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0,9%</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1,9%</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2,2%</w:t>
            </w:r>
          </w:p>
        </w:tc>
      </w:tr>
      <w:tr w:rsidR="006F0D69" w:rsidRPr="00877C7B" w:rsidTr="00432FF5">
        <w:trPr>
          <w:trHeight w:val="255"/>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1,4%</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-1,6%</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9A39FA" w:rsidRPr="00877C7B" w:rsidTr="00432FF5">
        <w:trPr>
          <w:trHeight w:val="300"/>
        </w:trPr>
        <w:tc>
          <w:tcPr>
            <w:tcW w:w="1674" w:type="pct"/>
            <w:shd w:val="clear" w:color="000000" w:fill="B1A0C7"/>
            <w:noWrap/>
            <w:vAlign w:val="center"/>
            <w:hideMark/>
          </w:tcPr>
          <w:p w:rsidR="009A39FA" w:rsidRPr="00877C7B" w:rsidRDefault="000E62E9" w:rsidP="009A39FA">
            <w:pPr>
              <w:spacing w:after="0" w:line="240" w:lineRule="auto"/>
              <w:rPr>
                <w:rFonts w:eastAsia="Times New Roman" w:cstheme="minorHAnsi"/>
                <w:b/>
                <w:bCs/>
                <w:sz w:val="20"/>
                <w:szCs w:val="20"/>
              </w:rPr>
            </w:pPr>
            <w:r w:rsidRPr="00877C7B">
              <w:rPr>
                <w:rFonts w:eastAsia="Times New Roman" w:cstheme="minorHAnsi"/>
                <w:b/>
                <w:bCs/>
                <w:sz w:val="20"/>
                <w:szCs w:val="20"/>
              </w:rPr>
              <w:t xml:space="preserve">        E</w:t>
            </w:r>
            <w:r w:rsidR="006F0D69" w:rsidRPr="00877C7B">
              <w:rPr>
                <w:rFonts w:eastAsia="Times New Roman" w:cstheme="minorHAnsi"/>
                <w:b/>
                <w:bCs/>
                <w:sz w:val="20"/>
                <w:szCs w:val="20"/>
              </w:rPr>
              <w:t>xternal</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c>
          <w:tcPr>
            <w:tcW w:w="665" w:type="pct"/>
            <w:shd w:val="clear" w:color="000000" w:fill="B1A0C7"/>
            <w:noWrap/>
            <w:vAlign w:val="center"/>
            <w:hideMark/>
          </w:tcPr>
          <w:p w:rsidR="009A39FA" w:rsidRPr="00877C7B" w:rsidRDefault="009A39FA" w:rsidP="009A39FA">
            <w:pPr>
              <w:spacing w:after="0" w:line="240" w:lineRule="auto"/>
              <w:rPr>
                <w:rFonts w:eastAsia="Times New Roman" w:cstheme="minorHAnsi"/>
                <w:b/>
                <w:bCs/>
                <w:sz w:val="20"/>
                <w:szCs w:val="20"/>
              </w:rPr>
            </w:pPr>
            <w:r w:rsidRPr="00877C7B">
              <w:rPr>
                <w:rFonts w:eastAsia="Times New Roman" w:cstheme="minorHAnsi"/>
                <w:b/>
                <w:bCs/>
                <w:sz w:val="20"/>
                <w:szCs w:val="20"/>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5,1%</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3,3%</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12,3%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6,2%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3,1%</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2,8%</w:t>
            </w:r>
          </w:p>
        </w:tc>
      </w:tr>
      <w:tr w:rsidR="006F0D69" w:rsidRPr="00877C7B" w:rsidTr="00432FF5">
        <w:trPr>
          <w:trHeight w:val="300"/>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8,8%</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1,2%</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000000" w:fill="FDE9D9"/>
            <w:noWrap/>
            <w:vAlign w:val="center"/>
            <w:hideMark/>
          </w:tcPr>
          <w:p w:rsidR="006F0D69" w:rsidRPr="00877C7B" w:rsidRDefault="006F0D69" w:rsidP="006F0D69">
            <w:pPr>
              <w:spacing w:after="0" w:line="240" w:lineRule="auto"/>
              <w:rPr>
                <w:rFonts w:eastAsia="Times New Roman" w:cstheme="minorHAnsi"/>
              </w:rPr>
            </w:pPr>
            <w:r w:rsidRPr="00877C7B">
              <w:rPr>
                <w:rFonts w:eastAsia="Times New Roman" w:cstheme="minorHAnsi"/>
              </w:rPr>
              <w:t> </w:t>
            </w:r>
          </w:p>
        </w:tc>
      </w:tr>
      <w:tr w:rsidR="006F0D69" w:rsidRPr="00877C7B" w:rsidTr="00432FF5">
        <w:trPr>
          <w:trHeight w:val="510"/>
        </w:trPr>
        <w:tc>
          <w:tcPr>
            <w:tcW w:w="1674" w:type="pct"/>
            <w:shd w:val="clear" w:color="auto" w:fill="auto"/>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(November 2020)</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10,8%</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9,9%</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3,7%</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3,9%</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3,8%</w:t>
            </w:r>
          </w:p>
        </w:tc>
      </w:tr>
      <w:tr w:rsidR="006F0D69" w:rsidRPr="00877C7B" w:rsidTr="00432FF5">
        <w:trPr>
          <w:trHeight w:val="315"/>
        </w:trPr>
        <w:tc>
          <w:tcPr>
            <w:tcW w:w="1674" w:type="pct"/>
            <w:shd w:val="clear" w:color="auto" w:fill="auto"/>
            <w:noWrap/>
            <w:vAlign w:val="center"/>
            <w:hideMark/>
          </w:tcPr>
          <w:p w:rsidR="006F0D69" w:rsidRPr="00877C7B" w:rsidRDefault="006F0D69" w:rsidP="006F0D69">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7,3%</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4,8%</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5" w:type="pct"/>
            <w:shd w:val="clear" w:color="auto" w:fill="auto"/>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000000" w:fill="FDE9D9"/>
            <w:noWrap/>
            <w:vAlign w:val="center"/>
            <w:hideMark/>
          </w:tcPr>
          <w:p w:rsidR="006F0D69" w:rsidRPr="00877C7B" w:rsidRDefault="006F0D69" w:rsidP="006F0D69">
            <w:pPr>
              <w:spacing w:after="0" w:line="240" w:lineRule="auto"/>
              <w:jc w:val="center"/>
              <w:rPr>
                <w:rFonts w:eastAsia="Times New Roman" w:cstheme="minorHAnsi"/>
                <w:sz w:val="18"/>
                <w:szCs w:val="18"/>
              </w:rPr>
            </w:pPr>
            <w:r w:rsidRPr="00877C7B">
              <w:rPr>
                <w:rFonts w:eastAsia="Times New Roman" w:cstheme="minorHAnsi"/>
                <w:sz w:val="18"/>
                <w:szCs w:val="18"/>
              </w:rPr>
              <w:t>3,8%</w:t>
            </w:r>
          </w:p>
        </w:tc>
      </w:tr>
    </w:tbl>
    <w:p w:rsidR="00432FF5" w:rsidRPr="00877C7B" w:rsidRDefault="00432FF5" w:rsidP="000B53FD">
      <w:pPr>
        <w:spacing w:after="240" w:line="240" w:lineRule="auto"/>
        <w:jc w:val="both"/>
        <w:rPr>
          <w:rFonts w:cstheme="minorHAnsi"/>
          <w:lang w:val="ka-GE"/>
        </w:rPr>
      </w:pPr>
    </w:p>
    <w:p w:rsidR="00591D1A" w:rsidRPr="00877C7B" w:rsidRDefault="003E32B3" w:rsidP="00877C7B">
      <w:pPr>
        <w:spacing w:after="240" w:line="276" w:lineRule="auto"/>
        <w:ind w:firstLine="720"/>
        <w:jc w:val="both"/>
        <w:rPr>
          <w:rFonts w:cstheme="minorHAnsi"/>
        </w:rPr>
      </w:pPr>
      <w:r w:rsidRPr="00877C7B">
        <w:rPr>
          <w:rFonts w:cstheme="minorHAnsi"/>
        </w:rPr>
        <w:t xml:space="preserve">For the spending side, forecast reflects the necessary resources and expenses related to financing the anti-crisis plan provided by the Georgian government due to the </w:t>
      </w:r>
      <w:r w:rsidR="00A1186F" w:rsidRPr="00877C7B">
        <w:rPr>
          <w:rFonts w:cstheme="minorHAnsi"/>
        </w:rPr>
        <w:t xml:space="preserve">new </w:t>
      </w:r>
      <w:r w:rsidRPr="00877C7B">
        <w:rPr>
          <w:rFonts w:cstheme="minorHAnsi"/>
        </w:rPr>
        <w:t xml:space="preserve">coronavirus (COVID-19). </w:t>
      </w:r>
      <w:r w:rsidR="00940AC0" w:rsidRPr="00877C7B">
        <w:rPr>
          <w:rFonts w:cstheme="minorHAnsi"/>
        </w:rPr>
        <w:t>The medium-term plan for 2021-2024 considers continuing the current programs and sub-programs of different ministries and financing the necess</w:t>
      </w:r>
      <w:r w:rsidR="0040002B" w:rsidRPr="00877C7B">
        <w:rPr>
          <w:rFonts w:cstheme="minorHAnsi"/>
        </w:rPr>
        <w:t>ary</w:t>
      </w:r>
      <w:r w:rsidR="00940AC0" w:rsidRPr="00877C7B">
        <w:rPr>
          <w:rFonts w:cstheme="minorHAnsi"/>
        </w:rPr>
        <w:t xml:space="preserve"> spending of part</w:t>
      </w:r>
      <w:r w:rsidR="0040002B" w:rsidRPr="00877C7B">
        <w:rPr>
          <w:rFonts w:cstheme="minorHAnsi"/>
        </w:rPr>
        <w:t>ial</w:t>
      </w:r>
      <w:r w:rsidR="00940AC0" w:rsidRPr="00877C7B">
        <w:rPr>
          <w:rFonts w:cstheme="minorHAnsi"/>
        </w:rPr>
        <w:t xml:space="preserve"> recovery of traditional programs</w:t>
      </w:r>
      <w:r w:rsidR="00A1186F" w:rsidRPr="00877C7B">
        <w:rPr>
          <w:rFonts w:cstheme="minorHAnsi"/>
        </w:rPr>
        <w:t xml:space="preserve"> by the government</w:t>
      </w:r>
      <w:r w:rsidR="00940AC0" w:rsidRPr="00877C7B">
        <w:rPr>
          <w:rFonts w:cstheme="minorHAnsi"/>
        </w:rPr>
        <w:t>.</w:t>
      </w:r>
      <w:r w:rsidR="00A1186F" w:rsidRPr="00877C7B">
        <w:rPr>
          <w:rFonts w:cstheme="minorHAnsi"/>
        </w:rPr>
        <w:t xml:space="preserve"> </w:t>
      </w:r>
    </w:p>
    <w:p w:rsidR="00940AC0" w:rsidRPr="00877C7B" w:rsidRDefault="00940AC0" w:rsidP="00877C7B">
      <w:pPr>
        <w:spacing w:after="0" w:line="276" w:lineRule="auto"/>
        <w:ind w:firstLine="720"/>
        <w:jc w:val="both"/>
        <w:rPr>
          <w:rFonts w:cstheme="minorHAnsi"/>
        </w:rPr>
      </w:pPr>
      <w:r w:rsidRPr="00877C7B">
        <w:rPr>
          <w:rFonts w:cstheme="minorHAnsi"/>
        </w:rPr>
        <w:t>The fiscal framework of 2021 also reflects the anti-crisis package due to the new coronavirus (COVID-19), which has been introduced in N</w:t>
      </w:r>
      <w:r w:rsidR="0040002B" w:rsidRPr="00877C7B">
        <w:rPr>
          <w:rFonts w:cstheme="minorHAnsi"/>
        </w:rPr>
        <w:t>ove</w:t>
      </w:r>
      <w:r w:rsidRPr="00877C7B">
        <w:rPr>
          <w:rFonts w:cstheme="minorHAnsi"/>
        </w:rPr>
        <w:t>m</w:t>
      </w:r>
      <w:r w:rsidR="0040002B" w:rsidRPr="00877C7B">
        <w:rPr>
          <w:rFonts w:cstheme="minorHAnsi"/>
        </w:rPr>
        <w:t>b</w:t>
      </w:r>
      <w:r w:rsidRPr="00877C7B">
        <w:rPr>
          <w:rFonts w:cstheme="minorHAnsi"/>
        </w:rPr>
        <w:t xml:space="preserve">er 2020. </w:t>
      </w:r>
    </w:p>
    <w:p w:rsidR="00445AD7" w:rsidRPr="00877C7B" w:rsidRDefault="00445AD7" w:rsidP="00877C7B">
      <w:pPr>
        <w:spacing w:after="240" w:line="276" w:lineRule="auto"/>
        <w:ind w:firstLine="720"/>
        <w:jc w:val="both"/>
        <w:rPr>
          <w:rFonts w:cstheme="minorHAnsi"/>
        </w:rPr>
      </w:pPr>
      <w:r w:rsidRPr="00877C7B">
        <w:rPr>
          <w:rFonts w:cstheme="minorHAnsi"/>
        </w:rPr>
        <w:t>Consolidated budget expenses as a percent of GDP increased to 26.2 percent in 2020 ins</w:t>
      </w:r>
      <w:r w:rsidR="00F641FD" w:rsidRPr="00877C7B">
        <w:rPr>
          <w:rFonts w:cstheme="minorHAnsi"/>
        </w:rPr>
        <w:t xml:space="preserve">tead of 21.5 percent, which was </w:t>
      </w:r>
      <w:r w:rsidRPr="00877C7B">
        <w:rPr>
          <w:rFonts w:cstheme="minorHAnsi"/>
        </w:rPr>
        <w:t>the initial plan</w:t>
      </w:r>
      <w:r w:rsidR="004A568A" w:rsidRPr="00877C7B">
        <w:rPr>
          <w:rFonts w:cstheme="minorHAnsi"/>
        </w:rPr>
        <w:t xml:space="preserve"> for 2020</w:t>
      </w:r>
      <w:r w:rsidRPr="00877C7B">
        <w:rPr>
          <w:rFonts w:cstheme="minorHAnsi"/>
        </w:rPr>
        <w:t xml:space="preserve">. </w:t>
      </w:r>
      <w:r w:rsidR="004A568A" w:rsidRPr="00877C7B">
        <w:rPr>
          <w:rFonts w:cstheme="minorHAnsi"/>
        </w:rPr>
        <w:t>Thus, spending increased to 25.1 percent of GDP for 2021. In light</w:t>
      </w:r>
      <w:r w:rsidR="00B90F70" w:rsidRPr="00877C7B">
        <w:rPr>
          <w:rFonts w:cstheme="minorHAnsi"/>
        </w:rPr>
        <w:t xml:space="preserve"> of declining GDP, spending decreas</w:t>
      </w:r>
      <w:r w:rsidR="004A568A" w:rsidRPr="00877C7B">
        <w:rPr>
          <w:rFonts w:cstheme="minorHAnsi"/>
        </w:rPr>
        <w:t>ed to around 23 percent from 2022 and reache</w:t>
      </w:r>
      <w:r w:rsidR="00B90F70" w:rsidRPr="00877C7B">
        <w:rPr>
          <w:rFonts w:cstheme="minorHAnsi"/>
        </w:rPr>
        <w:t>s</w:t>
      </w:r>
      <w:r w:rsidR="004A568A" w:rsidRPr="00877C7B">
        <w:rPr>
          <w:rFonts w:cstheme="minorHAnsi"/>
        </w:rPr>
        <w:t xml:space="preserve"> 22.5 percent during 2023-2024. </w:t>
      </w:r>
    </w:p>
    <w:tbl>
      <w:tblPr>
        <w:tblW w:w="5146" w:type="pct"/>
        <w:tblInd w:w="-5" w:type="dxa"/>
        <w:tblLook w:val="04A0" w:firstRow="1" w:lastRow="0" w:firstColumn="1" w:lastColumn="0" w:noHBand="0" w:noVBand="1"/>
      </w:tblPr>
      <w:tblGrid>
        <w:gridCol w:w="1804"/>
        <w:gridCol w:w="1481"/>
        <w:gridCol w:w="1294"/>
        <w:gridCol w:w="932"/>
        <w:gridCol w:w="1060"/>
        <w:gridCol w:w="1433"/>
        <w:gridCol w:w="622"/>
        <w:gridCol w:w="622"/>
        <w:gridCol w:w="640"/>
      </w:tblGrid>
      <w:tr w:rsidR="004B6AA1" w:rsidRPr="00877C7B" w:rsidTr="00552D21">
        <w:trPr>
          <w:trHeight w:val="493"/>
          <w:tblHeader/>
        </w:trPr>
        <w:tc>
          <w:tcPr>
            <w:tcW w:w="952"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 xml:space="preserve">Impact of anti-crisis plan </w:t>
            </w:r>
          </w:p>
        </w:tc>
        <w:tc>
          <w:tcPr>
            <w:tcW w:w="1912" w:type="pct"/>
            <w:gridSpan w:val="3"/>
            <w:tcBorders>
              <w:top w:val="single" w:sz="4" w:space="0" w:color="808080"/>
              <w:left w:val="nil"/>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I stage</w:t>
            </w:r>
          </w:p>
        </w:tc>
        <w:tc>
          <w:tcPr>
            <w:tcW w:w="500" w:type="pct"/>
            <w:tcBorders>
              <w:top w:val="single" w:sz="4" w:space="0" w:color="808080"/>
              <w:left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Resources from the I stage</w:t>
            </w:r>
          </w:p>
        </w:tc>
        <w:tc>
          <w:tcPr>
            <w:tcW w:w="1636" w:type="pct"/>
            <w:gridSpan w:val="4"/>
            <w:tcBorders>
              <w:top w:val="single" w:sz="4" w:space="0" w:color="808080"/>
              <w:left w:val="nil"/>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II stage</w:t>
            </w:r>
          </w:p>
        </w:tc>
      </w:tr>
      <w:tr w:rsidR="004B6AA1" w:rsidRPr="00877C7B" w:rsidTr="000D7F23">
        <w:trPr>
          <w:trHeight w:val="1020"/>
          <w:tblHeader/>
        </w:trPr>
        <w:tc>
          <w:tcPr>
            <w:tcW w:w="952" w:type="pct"/>
            <w:vMerge/>
            <w:tcBorders>
              <w:top w:val="single" w:sz="4" w:space="0" w:color="808080"/>
              <w:left w:val="single" w:sz="4" w:space="0" w:color="808080"/>
              <w:bottom w:val="single" w:sz="4" w:space="0" w:color="808080"/>
              <w:right w:val="single" w:sz="4" w:space="0" w:color="808080"/>
            </w:tcBorders>
            <w:vAlign w:val="center"/>
            <w:hideMark/>
          </w:tcPr>
          <w:p w:rsidR="004B6AA1" w:rsidRPr="00877C7B" w:rsidRDefault="004B6AA1" w:rsidP="000B6AE4">
            <w:pPr>
              <w:spacing w:after="0" w:line="240" w:lineRule="auto"/>
              <w:rPr>
                <w:rFonts w:eastAsia="Times New Roman" w:cstheme="minorHAnsi"/>
                <w:b/>
                <w:bCs/>
                <w:color w:val="000000"/>
                <w:sz w:val="20"/>
                <w:szCs w:val="18"/>
                <w:lang w:val="en-GB" w:eastAsia="en-GB"/>
              </w:rPr>
            </w:pPr>
          </w:p>
        </w:tc>
        <w:tc>
          <w:tcPr>
            <w:tcW w:w="789"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 xml:space="preserve">Initial calculations  </w:t>
            </w:r>
          </w:p>
        </w:tc>
        <w:tc>
          <w:tcPr>
            <w:tcW w:w="69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Current plan/ forecast</w:t>
            </w:r>
          </w:p>
        </w:tc>
        <w:tc>
          <w:tcPr>
            <w:tcW w:w="422"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Actual  30.11.20</w:t>
            </w:r>
          </w:p>
        </w:tc>
        <w:tc>
          <w:tcPr>
            <w:tcW w:w="500" w:type="pct"/>
            <w:tcBorders>
              <w:left w:val="single" w:sz="4" w:space="0" w:color="808080"/>
              <w:bottom w:val="single" w:sz="4" w:space="0" w:color="808080"/>
              <w:right w:val="single" w:sz="4" w:space="0" w:color="808080"/>
            </w:tcBorders>
            <w:vAlign w:val="center"/>
            <w:hideMark/>
          </w:tcPr>
          <w:p w:rsidR="004B6AA1" w:rsidRPr="00877C7B" w:rsidRDefault="004B6AA1" w:rsidP="000B6AE4">
            <w:pPr>
              <w:spacing w:after="0" w:line="240" w:lineRule="auto"/>
              <w:rPr>
                <w:rFonts w:eastAsia="Times New Roman" w:cstheme="minorHAnsi"/>
                <w:b/>
                <w:bCs/>
                <w:color w:val="000000"/>
                <w:sz w:val="20"/>
                <w:szCs w:val="18"/>
                <w:lang w:val="en-GB" w:eastAsia="en-GB"/>
              </w:rPr>
            </w:pPr>
          </w:p>
        </w:tc>
        <w:tc>
          <w:tcPr>
            <w:tcW w:w="76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 xml:space="preserve">Difference between the spending and resources of II stage 2020 </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2020</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2021</w:t>
            </w:r>
          </w:p>
        </w:tc>
        <w:tc>
          <w:tcPr>
            <w:tcW w:w="301"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Total</w:t>
            </w:r>
          </w:p>
        </w:tc>
      </w:tr>
      <w:tr w:rsidR="004B6AA1" w:rsidRPr="00877C7B" w:rsidTr="000B6AE4">
        <w:trPr>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rPr>
                <w:rFonts w:eastAsia="Times New Roman" w:cstheme="minorHAnsi"/>
                <w:color w:val="000000"/>
                <w:sz w:val="20"/>
                <w:szCs w:val="18"/>
                <w:lang w:val="en-GB" w:eastAsia="en-GB"/>
              </w:rPr>
            </w:pPr>
            <w:r w:rsidRPr="00877C7B">
              <w:rPr>
                <w:rFonts w:eastAsia="Times New Roman" w:cstheme="minorHAnsi"/>
                <w:color w:val="000000"/>
                <w:sz w:val="20"/>
                <w:szCs w:val="18"/>
                <w:lang w:eastAsia="en-GB"/>
              </w:rPr>
              <w:t xml:space="preserve">Revenue loss </w:t>
            </w:r>
          </w:p>
        </w:tc>
        <w:tc>
          <w:tcPr>
            <w:tcW w:w="789"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0,6%</w:t>
            </w:r>
          </w:p>
        </w:tc>
        <w:tc>
          <w:tcPr>
            <w:tcW w:w="69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0,6%</w:t>
            </w:r>
          </w:p>
        </w:tc>
        <w:tc>
          <w:tcPr>
            <w:tcW w:w="422"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0,6%</w:t>
            </w:r>
          </w:p>
        </w:tc>
        <w:tc>
          <w:tcPr>
            <w:tcW w:w="500"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c>
          <w:tcPr>
            <w:tcW w:w="76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0,5%</w:t>
            </w:r>
          </w:p>
        </w:tc>
        <w:tc>
          <w:tcPr>
            <w:tcW w:w="301"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0,6%</w:t>
            </w:r>
          </w:p>
        </w:tc>
      </w:tr>
      <w:tr w:rsidR="004B6AA1" w:rsidRPr="00877C7B" w:rsidTr="000B6AE4">
        <w:trPr>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rPr>
                <w:rFonts w:eastAsia="Times New Roman" w:cstheme="minorHAnsi"/>
                <w:color w:val="000000"/>
                <w:sz w:val="20"/>
                <w:szCs w:val="18"/>
                <w:lang w:val="en-GB" w:eastAsia="en-GB"/>
              </w:rPr>
            </w:pPr>
            <w:r w:rsidRPr="00877C7B">
              <w:rPr>
                <w:rFonts w:eastAsia="Times New Roman" w:cstheme="minorHAnsi"/>
                <w:color w:val="000000"/>
                <w:sz w:val="20"/>
                <w:szCs w:val="18"/>
                <w:lang w:eastAsia="en-GB"/>
              </w:rPr>
              <w:t xml:space="preserve">Additional spending </w:t>
            </w:r>
          </w:p>
        </w:tc>
        <w:tc>
          <w:tcPr>
            <w:tcW w:w="789"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3,9%</w:t>
            </w:r>
          </w:p>
        </w:tc>
        <w:tc>
          <w:tcPr>
            <w:tcW w:w="69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3,3%</w:t>
            </w:r>
          </w:p>
        </w:tc>
        <w:tc>
          <w:tcPr>
            <w:tcW w:w="422"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2,3%</w:t>
            </w:r>
          </w:p>
        </w:tc>
        <w:tc>
          <w:tcPr>
            <w:tcW w:w="500"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0,6%</w:t>
            </w:r>
          </w:p>
        </w:tc>
        <w:tc>
          <w:tcPr>
            <w:tcW w:w="76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0,5%</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1,6%</w:t>
            </w:r>
          </w:p>
        </w:tc>
        <w:tc>
          <w:tcPr>
            <w:tcW w:w="301"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2,0%</w:t>
            </w:r>
          </w:p>
        </w:tc>
      </w:tr>
      <w:tr w:rsidR="004B6AA1" w:rsidRPr="00877C7B" w:rsidTr="000B6AE4">
        <w:trPr>
          <w:trHeight w:val="5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4B6AA1" w:rsidRPr="00877C7B" w:rsidRDefault="004B6AA1" w:rsidP="004B6AA1">
            <w:pPr>
              <w:spacing w:after="0" w:line="240" w:lineRule="auto"/>
              <w:rPr>
                <w:rFonts w:eastAsia="Times New Roman" w:cstheme="minorHAnsi"/>
                <w:color w:val="000000"/>
                <w:sz w:val="20"/>
                <w:szCs w:val="18"/>
                <w:lang w:val="en-GB" w:eastAsia="en-GB"/>
              </w:rPr>
            </w:pPr>
            <w:r w:rsidRPr="00877C7B">
              <w:rPr>
                <w:rFonts w:eastAsia="Times New Roman" w:cstheme="minorHAnsi"/>
                <w:color w:val="000000"/>
                <w:sz w:val="20"/>
                <w:szCs w:val="18"/>
                <w:lang w:eastAsia="en-GB"/>
              </w:rPr>
              <w:t xml:space="preserve">GEL </w:t>
            </w:r>
            <w:r w:rsidR="00552D21" w:rsidRPr="00877C7B">
              <w:rPr>
                <w:rFonts w:eastAsia="Times New Roman" w:cstheme="minorHAnsi"/>
                <w:color w:val="000000"/>
                <w:sz w:val="20"/>
                <w:szCs w:val="18"/>
                <w:lang w:eastAsia="en-GB"/>
              </w:rPr>
              <w:t>extension</w:t>
            </w:r>
            <w:r w:rsidRPr="00877C7B">
              <w:rPr>
                <w:rFonts w:eastAsia="Times New Roman" w:cstheme="minorHAnsi"/>
                <w:color w:val="000000"/>
                <w:sz w:val="20"/>
                <w:szCs w:val="18"/>
                <w:lang w:eastAsia="en-GB"/>
              </w:rPr>
              <w:t xml:space="preserve"> and VAT refund </w:t>
            </w:r>
          </w:p>
        </w:tc>
        <w:tc>
          <w:tcPr>
            <w:tcW w:w="789"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2,4%</w:t>
            </w:r>
          </w:p>
        </w:tc>
        <w:tc>
          <w:tcPr>
            <w:tcW w:w="69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2,4%</w:t>
            </w:r>
          </w:p>
        </w:tc>
        <w:tc>
          <w:tcPr>
            <w:tcW w:w="422"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2,4%</w:t>
            </w:r>
          </w:p>
        </w:tc>
        <w:tc>
          <w:tcPr>
            <w:tcW w:w="500"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c>
          <w:tcPr>
            <w:tcW w:w="76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c>
          <w:tcPr>
            <w:tcW w:w="301"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color w:val="000000"/>
                <w:sz w:val="18"/>
                <w:szCs w:val="18"/>
                <w:lang w:val="en-GB" w:eastAsia="en-GB"/>
              </w:rPr>
            </w:pPr>
            <w:r w:rsidRPr="00877C7B">
              <w:rPr>
                <w:rFonts w:eastAsia="Times New Roman" w:cstheme="minorHAnsi"/>
                <w:color w:val="000000"/>
                <w:sz w:val="18"/>
                <w:szCs w:val="18"/>
                <w:lang w:eastAsia="en-GB"/>
              </w:rPr>
              <w:t>0,0%</w:t>
            </w:r>
          </w:p>
        </w:tc>
      </w:tr>
      <w:tr w:rsidR="004B6AA1" w:rsidRPr="00877C7B" w:rsidTr="000B6AE4">
        <w:trPr>
          <w:trHeight w:val="2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r w:rsidRPr="00877C7B">
              <w:rPr>
                <w:rFonts w:eastAsia="Times New Roman" w:cstheme="minorHAnsi"/>
                <w:b/>
                <w:bCs/>
                <w:color w:val="000000"/>
                <w:sz w:val="20"/>
                <w:szCs w:val="18"/>
                <w:lang w:eastAsia="en-GB"/>
              </w:rPr>
              <w:t xml:space="preserve">Total  </w:t>
            </w:r>
          </w:p>
        </w:tc>
        <w:tc>
          <w:tcPr>
            <w:tcW w:w="789"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6,9%</w:t>
            </w:r>
          </w:p>
        </w:tc>
        <w:tc>
          <w:tcPr>
            <w:tcW w:w="69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6,3%</w:t>
            </w:r>
          </w:p>
        </w:tc>
        <w:tc>
          <w:tcPr>
            <w:tcW w:w="422"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5,4%</w:t>
            </w:r>
          </w:p>
        </w:tc>
        <w:tc>
          <w:tcPr>
            <w:tcW w:w="500"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0,6%</w:t>
            </w:r>
          </w:p>
        </w:tc>
        <w:tc>
          <w:tcPr>
            <w:tcW w:w="764"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0,6%</w:t>
            </w:r>
          </w:p>
        </w:tc>
        <w:tc>
          <w:tcPr>
            <w:tcW w:w="285"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2,1%</w:t>
            </w:r>
          </w:p>
        </w:tc>
        <w:tc>
          <w:tcPr>
            <w:tcW w:w="301" w:type="pct"/>
            <w:tcBorders>
              <w:top w:val="nil"/>
              <w:left w:val="nil"/>
              <w:bottom w:val="single" w:sz="4" w:space="0" w:color="808080"/>
              <w:right w:val="single" w:sz="4" w:space="0" w:color="808080"/>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18"/>
                <w:szCs w:val="18"/>
                <w:lang w:val="en-GB" w:eastAsia="en-GB"/>
              </w:rPr>
            </w:pPr>
            <w:r w:rsidRPr="00877C7B">
              <w:rPr>
                <w:rFonts w:eastAsia="Times New Roman" w:cstheme="minorHAnsi"/>
                <w:b/>
                <w:bCs/>
                <w:color w:val="000000"/>
                <w:sz w:val="18"/>
                <w:szCs w:val="18"/>
                <w:lang w:eastAsia="en-GB"/>
              </w:rPr>
              <w:t>2,6%</w:t>
            </w:r>
          </w:p>
        </w:tc>
      </w:tr>
      <w:tr w:rsidR="004B6AA1" w:rsidRPr="00877C7B" w:rsidTr="000B6AE4">
        <w:trPr>
          <w:trHeight w:val="240"/>
        </w:trPr>
        <w:tc>
          <w:tcPr>
            <w:tcW w:w="952" w:type="pct"/>
            <w:tcBorders>
              <w:top w:val="nil"/>
              <w:left w:val="nil"/>
              <w:bottom w:val="nil"/>
              <w:right w:val="nil"/>
            </w:tcBorders>
            <w:shd w:val="clear" w:color="auto" w:fill="auto"/>
            <w:vAlign w:val="center"/>
            <w:hideMark/>
          </w:tcPr>
          <w:p w:rsidR="004B6AA1" w:rsidRPr="00877C7B" w:rsidRDefault="004B6AA1" w:rsidP="000B6AE4">
            <w:pPr>
              <w:spacing w:after="0" w:line="240" w:lineRule="auto"/>
              <w:jc w:val="center"/>
              <w:rPr>
                <w:rFonts w:eastAsia="Times New Roman" w:cstheme="minorHAnsi"/>
                <w:b/>
                <w:bCs/>
                <w:color w:val="000000"/>
                <w:sz w:val="20"/>
                <w:szCs w:val="18"/>
                <w:lang w:val="en-GB" w:eastAsia="en-GB"/>
              </w:rPr>
            </w:pPr>
          </w:p>
        </w:tc>
        <w:tc>
          <w:tcPr>
            <w:tcW w:w="789"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694"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422"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500"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764"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285"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285"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c>
          <w:tcPr>
            <w:tcW w:w="301" w:type="pct"/>
            <w:tcBorders>
              <w:top w:val="nil"/>
              <w:left w:val="nil"/>
              <w:bottom w:val="nil"/>
              <w:right w:val="nil"/>
            </w:tcBorders>
            <w:shd w:val="clear" w:color="auto" w:fill="auto"/>
            <w:vAlign w:val="center"/>
            <w:hideMark/>
          </w:tcPr>
          <w:p w:rsidR="004B6AA1" w:rsidRPr="00877C7B" w:rsidRDefault="004B6AA1" w:rsidP="000B6AE4">
            <w:pPr>
              <w:spacing w:after="0" w:line="240" w:lineRule="auto"/>
              <w:rPr>
                <w:rFonts w:eastAsia="Times New Roman" w:cstheme="minorHAnsi"/>
                <w:sz w:val="20"/>
                <w:szCs w:val="20"/>
                <w:lang w:val="en-GB" w:eastAsia="en-GB"/>
              </w:rPr>
            </w:pPr>
          </w:p>
        </w:tc>
      </w:tr>
    </w:tbl>
    <w:p w:rsidR="00591D1A" w:rsidRPr="00877C7B" w:rsidRDefault="004B6AA1" w:rsidP="00877C7B">
      <w:pPr>
        <w:spacing w:after="240" w:line="276" w:lineRule="auto"/>
        <w:ind w:firstLine="720"/>
        <w:jc w:val="both"/>
        <w:rPr>
          <w:rFonts w:cstheme="minorHAnsi"/>
        </w:rPr>
      </w:pPr>
      <w:r w:rsidRPr="00877C7B">
        <w:rPr>
          <w:rFonts w:cstheme="minorHAnsi"/>
        </w:rPr>
        <w:t xml:space="preserve">Capital </w:t>
      </w:r>
      <w:r w:rsidR="00514790" w:rsidRPr="00877C7B">
        <w:rPr>
          <w:rFonts w:cstheme="minorHAnsi"/>
        </w:rPr>
        <w:t>expenditure for 2021 has been increased according to December 2019, as well as July 2020 forecasts</w:t>
      </w:r>
      <w:r w:rsidR="00CA0AEF" w:rsidRPr="00877C7B">
        <w:rPr>
          <w:rFonts w:cstheme="minorHAnsi"/>
        </w:rPr>
        <w:t>, which is due to East-West highway an</w:t>
      </w:r>
      <w:r w:rsidR="00AA16BE" w:rsidRPr="00877C7B">
        <w:rPr>
          <w:rFonts w:cstheme="minorHAnsi"/>
        </w:rPr>
        <w:t xml:space="preserve">d other </w:t>
      </w:r>
      <w:r w:rsidR="008E623D" w:rsidRPr="00877C7B">
        <w:rPr>
          <w:rFonts w:cstheme="minorHAnsi"/>
        </w:rPr>
        <w:t>complex</w:t>
      </w:r>
      <w:r w:rsidR="00AA16BE" w:rsidRPr="00877C7B">
        <w:rPr>
          <w:rFonts w:cstheme="minorHAnsi"/>
        </w:rPr>
        <w:t xml:space="preserve"> infrastructural projects to enter active phase</w:t>
      </w:r>
      <w:r w:rsidR="00CA0AEF" w:rsidRPr="00877C7B">
        <w:rPr>
          <w:rFonts w:cstheme="minorHAnsi"/>
        </w:rPr>
        <w:t xml:space="preserve">, and amounted to 7.9 percent. </w:t>
      </w:r>
      <w:r w:rsidR="00C143A8" w:rsidRPr="00877C7B">
        <w:rPr>
          <w:rFonts w:cstheme="minorHAnsi"/>
        </w:rPr>
        <w:t xml:space="preserve">However, </w:t>
      </w:r>
      <w:r w:rsidR="002B0106" w:rsidRPr="00877C7B">
        <w:rPr>
          <w:rFonts w:cstheme="minorHAnsi"/>
        </w:rPr>
        <w:t xml:space="preserve">together with declining the deficit, maintaining the capital spending around 8 percent will be challenging during </w:t>
      </w:r>
      <w:r w:rsidR="00D90876" w:rsidRPr="00877C7B">
        <w:rPr>
          <w:rFonts w:cstheme="minorHAnsi"/>
        </w:rPr>
        <w:t>the following</w:t>
      </w:r>
      <w:r w:rsidR="002B0106" w:rsidRPr="00877C7B">
        <w:rPr>
          <w:rFonts w:cstheme="minorHAnsi"/>
        </w:rPr>
        <w:t xml:space="preserve"> years. </w:t>
      </w:r>
    </w:p>
    <w:p w:rsidR="00027D57" w:rsidRPr="00877C7B" w:rsidRDefault="00027D57" w:rsidP="00877C7B">
      <w:pPr>
        <w:spacing w:after="240" w:line="240" w:lineRule="auto"/>
        <w:ind w:firstLine="720"/>
        <w:jc w:val="both"/>
        <w:rPr>
          <w:rFonts w:cstheme="minorHAnsi"/>
        </w:rPr>
      </w:pPr>
      <w:r w:rsidRPr="00877C7B">
        <w:rPr>
          <w:rFonts w:cstheme="minorHAnsi"/>
        </w:rPr>
        <w:t xml:space="preserve">The table below shows the forecast </w:t>
      </w:r>
      <w:r w:rsidR="0040002B" w:rsidRPr="00877C7B">
        <w:rPr>
          <w:rFonts w:cstheme="minorHAnsi"/>
        </w:rPr>
        <w:t>for</w:t>
      </w:r>
      <w:r w:rsidRPr="00877C7B">
        <w:rPr>
          <w:rFonts w:cstheme="minorHAnsi"/>
        </w:rPr>
        <w:t xml:space="preserve"> the current and capital spending </w:t>
      </w:r>
      <w:r w:rsidR="00F025A5" w:rsidRPr="00877C7B">
        <w:rPr>
          <w:rFonts w:cstheme="minorHAnsi"/>
        </w:rPr>
        <w:t>during</w:t>
      </w:r>
      <w:r w:rsidRPr="00877C7B">
        <w:rPr>
          <w:rFonts w:cstheme="minorHAnsi"/>
        </w:rPr>
        <w:t xml:space="preserve"> 2020-2024: </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31"/>
        <w:gridCol w:w="1278"/>
        <w:gridCol w:w="1278"/>
        <w:gridCol w:w="1278"/>
        <w:gridCol w:w="1278"/>
        <w:gridCol w:w="1264"/>
      </w:tblGrid>
      <w:tr w:rsidR="0060323E" w:rsidRPr="00877C7B" w:rsidTr="00552D21">
        <w:trPr>
          <w:trHeight w:val="270"/>
          <w:tblHeader/>
        </w:trPr>
        <w:tc>
          <w:tcPr>
            <w:tcW w:w="1682" w:type="pct"/>
            <w:shd w:val="clear" w:color="auto" w:fill="auto"/>
            <w:vAlign w:val="center"/>
            <w:hideMark/>
          </w:tcPr>
          <w:p w:rsidR="0060323E" w:rsidRPr="00877C7B" w:rsidRDefault="0060323E" w:rsidP="00CC0BC7">
            <w:pPr>
              <w:spacing w:after="0" w:line="240" w:lineRule="auto"/>
              <w:rPr>
                <w:rFonts w:eastAsia="Times New Roman" w:cstheme="minorHAnsi"/>
                <w:sz w:val="20"/>
                <w:szCs w:val="18"/>
              </w:rPr>
            </w:pPr>
            <w:r w:rsidRPr="00877C7B">
              <w:rPr>
                <w:rFonts w:eastAsia="Times New Roman" w:cstheme="minorHAnsi"/>
                <w:sz w:val="20"/>
                <w:szCs w:val="18"/>
              </w:rPr>
              <w:t> </w:t>
            </w:r>
            <w:r w:rsidRPr="00877C7B">
              <w:rPr>
                <w:rFonts w:eastAsia="Times New Roman" w:cstheme="minorHAnsi"/>
                <w:b/>
                <w:color w:val="000000"/>
                <w:sz w:val="20"/>
                <w:szCs w:val="20"/>
              </w:rPr>
              <w:t xml:space="preserve">Table 11. </w:t>
            </w:r>
            <w:r w:rsidR="00CC0BC7" w:rsidRPr="00877C7B">
              <w:rPr>
                <w:rFonts w:eastAsia="Times New Roman" w:cstheme="minorHAnsi"/>
                <w:b/>
                <w:color w:val="000000"/>
                <w:sz w:val="20"/>
                <w:szCs w:val="20"/>
              </w:rPr>
              <w:t>Current and Capital S</w:t>
            </w:r>
            <w:r w:rsidRPr="00877C7B">
              <w:rPr>
                <w:rFonts w:eastAsia="Times New Roman" w:cstheme="minorHAnsi"/>
                <w:b/>
                <w:color w:val="000000"/>
                <w:sz w:val="20"/>
                <w:szCs w:val="20"/>
              </w:rPr>
              <w:t>pending</w:t>
            </w:r>
            <w:r w:rsidR="00CC0BC7" w:rsidRPr="00877C7B">
              <w:rPr>
                <w:rFonts w:eastAsia="Times New Roman" w:cstheme="minorHAnsi"/>
                <w:b/>
                <w:color w:val="000000"/>
                <w:sz w:val="20"/>
                <w:szCs w:val="20"/>
              </w:rPr>
              <w:t xml:space="preserve"> Forecast </w:t>
            </w: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p>
        </w:tc>
        <w:tc>
          <w:tcPr>
            <w:tcW w:w="658" w:type="pct"/>
            <w:shd w:val="clear" w:color="000000" w:fill="FDE9D9"/>
            <w:noWrap/>
            <w:vAlign w:val="center"/>
          </w:tcPr>
          <w:p w:rsidR="0060323E" w:rsidRPr="00877C7B" w:rsidRDefault="0060323E" w:rsidP="0060323E">
            <w:pPr>
              <w:spacing w:after="0" w:line="240" w:lineRule="auto"/>
              <w:jc w:val="center"/>
              <w:rPr>
                <w:rFonts w:eastAsia="Times New Roman" w:cstheme="minorHAnsi"/>
                <w:b/>
                <w:bCs/>
                <w:sz w:val="18"/>
                <w:szCs w:val="18"/>
              </w:rPr>
            </w:pPr>
          </w:p>
        </w:tc>
      </w:tr>
      <w:tr w:rsidR="0060323E" w:rsidRPr="00877C7B" w:rsidTr="00552D21">
        <w:trPr>
          <w:trHeight w:val="270"/>
          <w:tblHeader/>
        </w:trPr>
        <w:tc>
          <w:tcPr>
            <w:tcW w:w="1682" w:type="pct"/>
            <w:shd w:val="clear" w:color="auto" w:fill="auto"/>
            <w:vAlign w:val="center"/>
            <w:hideMark/>
          </w:tcPr>
          <w:p w:rsidR="0060323E" w:rsidRPr="00877C7B" w:rsidRDefault="0060323E" w:rsidP="0060323E">
            <w:pPr>
              <w:spacing w:after="0" w:line="240" w:lineRule="auto"/>
              <w:rPr>
                <w:rFonts w:eastAsia="Times New Roman" w:cstheme="minorHAnsi"/>
                <w:sz w:val="20"/>
                <w:szCs w:val="18"/>
              </w:rPr>
            </w:pPr>
            <w:r w:rsidRPr="00877C7B">
              <w:rPr>
                <w:rFonts w:eastAsia="Times New Roman" w:cstheme="minorHAnsi"/>
                <w:sz w:val="20"/>
                <w:szCs w:val="18"/>
              </w:rPr>
              <w:t> </w:t>
            </w:r>
            <w:r w:rsidRPr="00877C7B">
              <w:rPr>
                <w:rFonts w:cstheme="minorHAnsi"/>
                <w:b/>
                <w:sz w:val="20"/>
              </w:rPr>
              <w:t xml:space="preserve">Million GEL </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b/>
                <w:bCs/>
                <w:sz w:val="18"/>
                <w:szCs w:val="18"/>
              </w:rPr>
              <w:t>2020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b/>
                <w:bCs/>
                <w:sz w:val="18"/>
                <w:szCs w:val="18"/>
              </w:rPr>
              <w:t>2021</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b/>
                <w:bCs/>
                <w:sz w:val="18"/>
                <w:szCs w:val="18"/>
              </w:rPr>
              <w:t>2022</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b/>
                <w:bCs/>
                <w:sz w:val="18"/>
                <w:szCs w:val="18"/>
              </w:rPr>
              <w:t>2023</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b/>
                <w:bCs/>
                <w:sz w:val="18"/>
                <w:szCs w:val="18"/>
              </w:rPr>
              <w:t>2024</w:t>
            </w:r>
          </w:p>
        </w:tc>
      </w:tr>
      <w:tr w:rsidR="0060323E" w:rsidRPr="00877C7B" w:rsidTr="00552D21">
        <w:trPr>
          <w:trHeight w:val="270"/>
          <w:tblHeader/>
        </w:trPr>
        <w:tc>
          <w:tcPr>
            <w:tcW w:w="1682" w:type="pct"/>
            <w:shd w:val="clear" w:color="auto" w:fill="auto"/>
            <w:vAlign w:val="center"/>
          </w:tcPr>
          <w:p w:rsidR="0060323E" w:rsidRPr="00877C7B" w:rsidRDefault="0060323E" w:rsidP="0060323E">
            <w:pPr>
              <w:spacing w:after="0" w:line="240" w:lineRule="auto"/>
              <w:rPr>
                <w:rFonts w:eastAsia="Times New Roman" w:cstheme="minorHAnsi"/>
                <w:sz w:val="20"/>
                <w:szCs w:val="18"/>
              </w:rPr>
            </w:pP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Expected</w:t>
            </w: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65" w:type="pct"/>
            <w:shd w:val="clear" w:color="auto" w:fill="auto"/>
            <w:noWrap/>
            <w:vAlign w:val="center"/>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c>
          <w:tcPr>
            <w:tcW w:w="658" w:type="pct"/>
            <w:shd w:val="clear" w:color="000000" w:fill="FDE9D9"/>
            <w:noWrap/>
            <w:vAlign w:val="center"/>
          </w:tcPr>
          <w:p w:rsidR="0060323E" w:rsidRPr="00877C7B" w:rsidRDefault="0060323E" w:rsidP="0060323E">
            <w:pPr>
              <w:spacing w:after="0" w:line="240" w:lineRule="auto"/>
              <w:jc w:val="center"/>
              <w:rPr>
                <w:rFonts w:eastAsia="Times New Roman" w:cstheme="minorHAnsi"/>
                <w:b/>
                <w:bCs/>
                <w:sz w:val="18"/>
                <w:szCs w:val="18"/>
              </w:rPr>
            </w:pPr>
            <w:r w:rsidRPr="00877C7B">
              <w:rPr>
                <w:rFonts w:eastAsia="Times New Roman" w:cstheme="minorHAnsi"/>
                <w:color w:val="000000"/>
                <w:sz w:val="20"/>
                <w:szCs w:val="20"/>
              </w:rPr>
              <w:t>Forecast</w:t>
            </w:r>
          </w:p>
        </w:tc>
      </w:tr>
      <w:tr w:rsidR="0060323E" w:rsidRPr="00877C7B" w:rsidTr="00552D21">
        <w:trPr>
          <w:trHeight w:val="270"/>
        </w:trPr>
        <w:tc>
          <w:tcPr>
            <w:tcW w:w="1682" w:type="pct"/>
            <w:shd w:val="clear" w:color="000000" w:fill="FDE9D9"/>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bCs/>
                <w:sz w:val="20"/>
                <w:szCs w:val="20"/>
              </w:rPr>
              <w:t>Expenditures</w:t>
            </w:r>
          </w:p>
        </w:tc>
        <w:tc>
          <w:tcPr>
            <w:tcW w:w="3318" w:type="pct"/>
            <w:gridSpan w:val="5"/>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auto" w:fill="auto"/>
            <w:vAlign w:val="center"/>
            <w:hideMark/>
          </w:tcPr>
          <w:p w:rsidR="0060323E" w:rsidRPr="00877C7B" w:rsidRDefault="0060323E"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2020-2023 </w:t>
            </w:r>
            <w:r w:rsidR="00B36B2A" w:rsidRPr="00877C7B">
              <w:rPr>
                <w:rFonts w:eastAsia="Times New Roman" w:cstheme="minorHAnsi"/>
                <w:sz w:val="20"/>
                <w:szCs w:val="18"/>
              </w:rPr>
              <w:t>forecast</w:t>
            </w:r>
            <w:r w:rsidRPr="00877C7B">
              <w:rPr>
                <w:rFonts w:eastAsia="Times New Roman" w:cstheme="minorHAnsi"/>
                <w:sz w:val="20"/>
                <w:szCs w:val="18"/>
              </w:rPr>
              <w:t xml:space="preserve"> (</w:t>
            </w:r>
            <w:r w:rsidR="00B36B2A" w:rsidRPr="00877C7B">
              <w:rPr>
                <w:rFonts w:eastAsia="Times New Roman" w:cstheme="minorHAnsi"/>
                <w:sz w:val="20"/>
                <w:szCs w:val="18"/>
              </w:rPr>
              <w:t xml:space="preserve">December </w:t>
            </w:r>
            <w:r w:rsidRPr="00877C7B">
              <w:rPr>
                <w:rFonts w:eastAsia="Times New Roman" w:cstheme="minorHAnsi"/>
                <w:sz w:val="20"/>
                <w:szCs w:val="18"/>
              </w:rPr>
              <w:t>2019)</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lang w:val="ka-GE"/>
              </w:rPr>
            </w:pPr>
            <w:r w:rsidRPr="00877C7B">
              <w:rPr>
                <w:rFonts w:eastAsia="Times New Roman" w:cstheme="minorHAnsi"/>
                <w:sz w:val="18"/>
                <w:szCs w:val="18"/>
              </w:rPr>
              <w:t>11 410,0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12 394,0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13 430,0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14 622,0</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auto" w:fill="auto"/>
            <w:vAlign w:val="center"/>
            <w:hideMark/>
          </w:tcPr>
          <w:p w:rsidR="0060323E" w:rsidRPr="00877C7B" w:rsidRDefault="0060323E"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B36B2A" w:rsidRPr="00877C7B">
              <w:rPr>
                <w:rFonts w:eastAsia="Times New Roman" w:cstheme="minorHAnsi"/>
                <w:sz w:val="20"/>
                <w:szCs w:val="18"/>
              </w:rPr>
              <w:t xml:space="preserve">forecast </w:t>
            </w:r>
            <w:r w:rsidRPr="00877C7B">
              <w:rPr>
                <w:rFonts w:eastAsia="Times New Roman" w:cstheme="minorHAnsi"/>
                <w:sz w:val="20"/>
                <w:szCs w:val="18"/>
              </w:rPr>
              <w:t>(</w:t>
            </w:r>
            <w:r w:rsidR="00B36B2A" w:rsidRPr="00877C7B">
              <w:rPr>
                <w:rFonts w:eastAsia="Times New Roman" w:cstheme="minorHAnsi"/>
                <w:sz w:val="20"/>
                <w:szCs w:val="18"/>
              </w:rPr>
              <w:t xml:space="preserve">July </w:t>
            </w:r>
            <w:r w:rsidRPr="00877C7B">
              <w:rPr>
                <w:rFonts w:eastAsia="Times New Roman" w:cstheme="minorHAnsi"/>
                <w:sz w:val="20"/>
                <w:szCs w:val="18"/>
              </w:rPr>
              <w:t>2020)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12 956,0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12 609,0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13 828,0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14 916,0</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15 964,0</w:t>
            </w:r>
          </w:p>
        </w:tc>
      </w:tr>
      <w:tr w:rsidR="0060323E" w:rsidRPr="00877C7B" w:rsidTr="00552D21">
        <w:trPr>
          <w:trHeight w:val="270"/>
        </w:trPr>
        <w:tc>
          <w:tcPr>
            <w:tcW w:w="1682" w:type="pct"/>
            <w:shd w:val="clear" w:color="auto" w:fill="auto"/>
            <w:vAlign w:val="center"/>
            <w:hideMark/>
          </w:tcPr>
          <w:p w:rsidR="0060323E" w:rsidRPr="00877C7B" w:rsidRDefault="00CC0BC7" w:rsidP="0060323E">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1 546,0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215,0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398,0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294,0</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auto" w:fill="auto"/>
            <w:vAlign w:val="center"/>
            <w:hideMark/>
          </w:tcPr>
          <w:p w:rsidR="0060323E" w:rsidRPr="00877C7B" w:rsidRDefault="0060323E"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 xml:space="preserve">2021-2024 </w:t>
            </w:r>
            <w:r w:rsidR="00B36B2A" w:rsidRPr="00877C7B">
              <w:rPr>
                <w:rFonts w:eastAsia="Times New Roman" w:cstheme="minorHAnsi"/>
                <w:sz w:val="20"/>
                <w:szCs w:val="18"/>
              </w:rPr>
              <w:t xml:space="preserve">forecast </w:t>
            </w:r>
            <w:r w:rsidRPr="00877C7B">
              <w:rPr>
                <w:rFonts w:eastAsia="Times New Roman" w:cstheme="minorHAnsi"/>
                <w:sz w:val="20"/>
                <w:szCs w:val="18"/>
              </w:rPr>
              <w:t>(</w:t>
            </w:r>
            <w:r w:rsidR="00B36B2A" w:rsidRPr="00877C7B">
              <w:rPr>
                <w:rFonts w:eastAsia="Times New Roman" w:cstheme="minorHAnsi"/>
                <w:sz w:val="20"/>
                <w:szCs w:val="18"/>
              </w:rPr>
              <w:t xml:space="preserve">October </w:t>
            </w:r>
            <w:r w:rsidRPr="00877C7B">
              <w:rPr>
                <w:rFonts w:eastAsia="Times New Roman" w:cstheme="minorHAnsi"/>
                <w:sz w:val="20"/>
                <w:szCs w:val="18"/>
              </w:rPr>
              <w:t>2020)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12 921,0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13 407,0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13 518,0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14 434,0</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15 243,0</w:t>
            </w:r>
          </w:p>
        </w:tc>
      </w:tr>
      <w:tr w:rsidR="0060323E" w:rsidRPr="00877C7B" w:rsidTr="00552D21">
        <w:trPr>
          <w:trHeight w:val="315"/>
        </w:trPr>
        <w:tc>
          <w:tcPr>
            <w:tcW w:w="1682" w:type="pct"/>
            <w:shd w:val="clear" w:color="auto" w:fill="auto"/>
            <w:noWrap/>
            <w:vAlign w:val="center"/>
            <w:hideMark/>
          </w:tcPr>
          <w:p w:rsidR="0060323E" w:rsidRPr="00877C7B" w:rsidRDefault="00B36B2A" w:rsidP="0060323E">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1 511,0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1 013,0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88,0</w:t>
            </w:r>
          </w:p>
        </w:tc>
        <w:tc>
          <w:tcPr>
            <w:tcW w:w="665" w:type="pct"/>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-188,0</w:t>
            </w:r>
          </w:p>
        </w:tc>
        <w:tc>
          <w:tcPr>
            <w:tcW w:w="658" w:type="pct"/>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270"/>
        </w:trPr>
        <w:tc>
          <w:tcPr>
            <w:tcW w:w="5000" w:type="pct"/>
            <w:gridSpan w:val="6"/>
            <w:shd w:val="clear" w:color="auto" w:fill="auto"/>
            <w:noWrap/>
            <w:vAlign w:val="center"/>
            <w:hideMark/>
          </w:tcPr>
          <w:p w:rsidR="0060323E" w:rsidRPr="00877C7B" w:rsidRDefault="0060323E" w:rsidP="0060323E">
            <w:pPr>
              <w:spacing w:after="0" w:line="240" w:lineRule="auto"/>
              <w:jc w:val="center"/>
              <w:rPr>
                <w:rFonts w:eastAsia="Times New Roman" w:cstheme="minorHAnsi"/>
                <w:sz w:val="20"/>
                <w:szCs w:val="18"/>
              </w:rPr>
            </w:pPr>
            <w:r w:rsidRPr="00877C7B">
              <w:rPr>
                <w:rFonts w:eastAsia="Times New Roman" w:cstheme="minorHAnsi"/>
                <w:sz w:val="20"/>
                <w:szCs w:val="18"/>
              </w:rPr>
              <w:t> </w:t>
            </w:r>
          </w:p>
        </w:tc>
      </w:tr>
      <w:tr w:rsidR="0060323E" w:rsidRPr="00877C7B" w:rsidTr="00552D21">
        <w:trPr>
          <w:trHeight w:val="270"/>
        </w:trPr>
        <w:tc>
          <w:tcPr>
            <w:tcW w:w="1682" w:type="pct"/>
            <w:shd w:val="clear" w:color="000000" w:fill="FDE9D9"/>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bCs/>
                <w:sz w:val="20"/>
                <w:szCs w:val="20"/>
              </w:rPr>
              <w:t>Capital Expenditures</w:t>
            </w:r>
          </w:p>
        </w:tc>
        <w:tc>
          <w:tcPr>
            <w:tcW w:w="3318" w:type="pct"/>
            <w:gridSpan w:val="5"/>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auto" w:fill="auto"/>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sz w:val="20"/>
                <w:szCs w:val="20"/>
              </w:rPr>
              <w:t>Increase in Non-Financial Assets</w:t>
            </w:r>
          </w:p>
        </w:tc>
        <w:tc>
          <w:tcPr>
            <w:tcW w:w="3318" w:type="pct"/>
            <w:gridSpan w:val="5"/>
            <w:shd w:val="clear" w:color="auto" w:fill="auto"/>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3 689,0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3 800,0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3 990,0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4 160,0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3 521,0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3 700,0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3 750,0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3 750,0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3 900,0</w:t>
            </w:r>
          </w:p>
        </w:tc>
      </w:tr>
      <w:tr w:rsidR="00B36B2A" w:rsidRPr="00877C7B" w:rsidTr="00552D21">
        <w:trPr>
          <w:trHeight w:val="270"/>
        </w:trPr>
        <w:tc>
          <w:tcPr>
            <w:tcW w:w="1682" w:type="pct"/>
            <w:shd w:val="clear" w:color="auto" w:fill="auto"/>
            <w:vAlign w:val="center"/>
            <w:hideMark/>
          </w:tcPr>
          <w:p w:rsidR="00B36B2A" w:rsidRPr="00877C7B" w:rsidRDefault="00CC0BC7" w:rsidP="00B36B2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-168,0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-100,0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-240,0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-410,0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(October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4 055,0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4 236,0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4 100,0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3 960,0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4 480,0</w:t>
            </w:r>
          </w:p>
        </w:tc>
      </w:tr>
      <w:tr w:rsidR="00B36B2A" w:rsidRPr="00877C7B" w:rsidTr="00552D21">
        <w:trPr>
          <w:trHeight w:val="315"/>
        </w:trPr>
        <w:tc>
          <w:tcPr>
            <w:tcW w:w="1682" w:type="pct"/>
            <w:shd w:val="clear" w:color="auto" w:fill="auto"/>
            <w:noWrap/>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366,0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436,0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110,0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-200,0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000000" w:fill="FDE9D9"/>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sz w:val="20"/>
                <w:szCs w:val="20"/>
              </w:rPr>
              <w:t>Increase in Financial Assets</w:t>
            </w:r>
          </w:p>
        </w:tc>
        <w:tc>
          <w:tcPr>
            <w:tcW w:w="3318" w:type="pct"/>
            <w:gridSpan w:val="5"/>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177,0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360,0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360,0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340,0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165,0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300,0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r>
      <w:tr w:rsidR="00B36B2A" w:rsidRPr="00877C7B" w:rsidTr="00552D21">
        <w:trPr>
          <w:trHeight w:val="270"/>
        </w:trPr>
        <w:tc>
          <w:tcPr>
            <w:tcW w:w="1682" w:type="pct"/>
            <w:shd w:val="clear" w:color="auto" w:fill="auto"/>
            <w:vAlign w:val="center"/>
            <w:hideMark/>
          </w:tcPr>
          <w:p w:rsidR="00B36B2A" w:rsidRPr="00877C7B" w:rsidRDefault="00CC0BC7" w:rsidP="00B36B2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-110,0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-90,0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(October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190,0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241,0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250,0</w:t>
            </w:r>
          </w:p>
        </w:tc>
      </w:tr>
      <w:tr w:rsidR="00B36B2A" w:rsidRPr="00877C7B" w:rsidTr="00552D21">
        <w:trPr>
          <w:trHeight w:val="315"/>
        </w:trPr>
        <w:tc>
          <w:tcPr>
            <w:tcW w:w="1682" w:type="pct"/>
            <w:shd w:val="clear" w:color="auto" w:fill="auto"/>
            <w:noWrap/>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13,0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-119,0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-110,0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-90,0</w:t>
            </w:r>
          </w:p>
        </w:tc>
        <w:tc>
          <w:tcPr>
            <w:tcW w:w="658" w:type="pct"/>
            <w:shd w:val="clear" w:color="000000" w:fill="FDE9D9"/>
            <w:noWrap/>
            <w:vAlign w:val="center"/>
            <w:hideMark/>
          </w:tcPr>
          <w:p w:rsidR="00B36B2A" w:rsidRPr="00877C7B" w:rsidRDefault="00B36B2A" w:rsidP="00B36B2A">
            <w:pPr>
              <w:spacing w:after="0" w:line="240" w:lineRule="auto"/>
              <w:rPr>
                <w:rFonts w:eastAsia="Times New Roman" w:cstheme="minorHAnsi"/>
              </w:rPr>
            </w:pPr>
            <w:r w:rsidRPr="00877C7B">
              <w:rPr>
                <w:rFonts w:eastAsia="Times New Roman" w:cstheme="minorHAnsi"/>
              </w:rPr>
              <w:t> </w:t>
            </w:r>
          </w:p>
        </w:tc>
      </w:tr>
      <w:tr w:rsidR="0060323E" w:rsidRPr="00877C7B" w:rsidTr="00552D21">
        <w:trPr>
          <w:trHeight w:val="270"/>
        </w:trPr>
        <w:tc>
          <w:tcPr>
            <w:tcW w:w="5000" w:type="pct"/>
            <w:gridSpan w:val="6"/>
            <w:shd w:val="clear" w:color="auto" w:fill="auto"/>
            <w:vAlign w:val="center"/>
            <w:hideMark/>
          </w:tcPr>
          <w:p w:rsidR="0060323E" w:rsidRPr="00877C7B" w:rsidRDefault="0060323E" w:rsidP="0060323E">
            <w:pPr>
              <w:spacing w:after="0" w:line="240" w:lineRule="auto"/>
              <w:jc w:val="center"/>
              <w:rPr>
                <w:rFonts w:eastAsia="Times New Roman" w:cstheme="minorHAnsi"/>
                <w:sz w:val="20"/>
                <w:szCs w:val="18"/>
              </w:rPr>
            </w:pPr>
            <w:r w:rsidRPr="00877C7B">
              <w:rPr>
                <w:rFonts w:eastAsia="Times New Roman" w:cstheme="minorHAnsi"/>
                <w:sz w:val="20"/>
                <w:szCs w:val="18"/>
              </w:rPr>
              <w:t> </w:t>
            </w:r>
          </w:p>
        </w:tc>
      </w:tr>
      <w:tr w:rsidR="0060323E" w:rsidRPr="00877C7B" w:rsidTr="00552D21">
        <w:trPr>
          <w:trHeight w:val="270"/>
        </w:trPr>
        <w:tc>
          <w:tcPr>
            <w:tcW w:w="5000" w:type="pct"/>
            <w:gridSpan w:val="6"/>
            <w:shd w:val="clear" w:color="auto" w:fill="auto"/>
            <w:vAlign w:val="center"/>
            <w:hideMark/>
          </w:tcPr>
          <w:p w:rsidR="0060323E" w:rsidRPr="00877C7B" w:rsidRDefault="0060323E" w:rsidP="00DE0255">
            <w:pPr>
              <w:spacing w:after="0" w:line="240" w:lineRule="auto"/>
              <w:jc w:val="center"/>
              <w:rPr>
                <w:rFonts w:eastAsia="Times New Roman" w:cstheme="minorHAnsi"/>
                <w:b/>
                <w:bCs/>
                <w:sz w:val="20"/>
                <w:szCs w:val="18"/>
              </w:rPr>
            </w:pPr>
            <w:r w:rsidRPr="00877C7B">
              <w:rPr>
                <w:rFonts w:eastAsia="Times New Roman" w:cstheme="minorHAnsi"/>
                <w:b/>
                <w:bCs/>
                <w:sz w:val="20"/>
                <w:szCs w:val="18"/>
              </w:rPr>
              <w:t xml:space="preserve">% </w:t>
            </w:r>
            <w:r w:rsidR="00DE0255" w:rsidRPr="00877C7B">
              <w:rPr>
                <w:rFonts w:eastAsia="Times New Roman" w:cstheme="minorHAnsi"/>
                <w:b/>
                <w:bCs/>
                <w:sz w:val="20"/>
                <w:szCs w:val="18"/>
              </w:rPr>
              <w:t>of GDP</w:t>
            </w:r>
          </w:p>
        </w:tc>
      </w:tr>
      <w:tr w:rsidR="0060323E" w:rsidRPr="00877C7B" w:rsidTr="00552D21">
        <w:trPr>
          <w:trHeight w:val="270"/>
        </w:trPr>
        <w:tc>
          <w:tcPr>
            <w:tcW w:w="1682" w:type="pct"/>
            <w:shd w:val="clear" w:color="000000" w:fill="FDE9D9"/>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bCs/>
                <w:sz w:val="20"/>
                <w:szCs w:val="20"/>
              </w:rPr>
              <w:t>Expenditures</w:t>
            </w:r>
          </w:p>
        </w:tc>
        <w:tc>
          <w:tcPr>
            <w:tcW w:w="3318" w:type="pct"/>
            <w:gridSpan w:val="5"/>
            <w:shd w:val="clear" w:color="000000" w:fill="FDE9D9"/>
            <w:noWrap/>
            <w:vAlign w:val="center"/>
            <w:hideMark/>
          </w:tcPr>
          <w:p w:rsidR="0060323E" w:rsidRPr="00877C7B" w:rsidRDefault="0060323E" w:rsidP="0060323E">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21,5%</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21,6%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21,6%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21,7%</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25,8%</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23,1%</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23,2%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23,0%</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22,7%</w:t>
            </w:r>
          </w:p>
        </w:tc>
      </w:tr>
      <w:tr w:rsidR="00B36B2A" w:rsidRPr="00877C7B" w:rsidTr="00552D21">
        <w:trPr>
          <w:trHeight w:val="270"/>
        </w:trPr>
        <w:tc>
          <w:tcPr>
            <w:tcW w:w="1682" w:type="pct"/>
            <w:shd w:val="clear" w:color="auto" w:fill="auto"/>
            <w:vAlign w:val="center"/>
            <w:hideMark/>
          </w:tcPr>
          <w:p w:rsidR="00B36B2A" w:rsidRPr="00877C7B" w:rsidRDefault="00CC0BC7" w:rsidP="00B36B2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1,5%</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1,3%</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(October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26,2%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25,1%</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23,2%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22,8%</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22,2%</w:t>
            </w:r>
          </w:p>
        </w:tc>
      </w:tr>
      <w:tr w:rsidR="00B36B2A" w:rsidRPr="00877C7B" w:rsidTr="00552D21">
        <w:trPr>
          <w:trHeight w:val="315"/>
        </w:trPr>
        <w:tc>
          <w:tcPr>
            <w:tcW w:w="1682" w:type="pct"/>
            <w:shd w:val="clear" w:color="auto" w:fill="auto"/>
            <w:noWrap/>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4,7%</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3,5%</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1,1%</w:t>
            </w:r>
          </w:p>
        </w:tc>
        <w:tc>
          <w:tcPr>
            <w:tcW w:w="658" w:type="pct"/>
            <w:shd w:val="clear" w:color="000000" w:fill="FDE9D9"/>
            <w:noWrap/>
            <w:vAlign w:val="center"/>
            <w:hideMark/>
          </w:tcPr>
          <w:p w:rsidR="00B36B2A" w:rsidRPr="00877C7B" w:rsidRDefault="00B36B2A" w:rsidP="00B36B2A">
            <w:pPr>
              <w:spacing w:after="0" w:line="240" w:lineRule="auto"/>
              <w:rPr>
                <w:rFonts w:eastAsia="Times New Roman" w:cstheme="minorHAnsi"/>
              </w:rPr>
            </w:pPr>
            <w:r w:rsidRPr="00877C7B">
              <w:rPr>
                <w:rFonts w:eastAsia="Times New Roman" w:cstheme="minorHAnsi"/>
              </w:rPr>
              <w:t> </w:t>
            </w:r>
          </w:p>
        </w:tc>
      </w:tr>
      <w:tr w:rsidR="0060323E" w:rsidRPr="00877C7B" w:rsidTr="00552D21">
        <w:trPr>
          <w:trHeight w:val="270"/>
        </w:trPr>
        <w:tc>
          <w:tcPr>
            <w:tcW w:w="5000" w:type="pct"/>
            <w:gridSpan w:val="6"/>
            <w:shd w:val="clear" w:color="auto" w:fill="auto"/>
            <w:vAlign w:val="center"/>
            <w:hideMark/>
          </w:tcPr>
          <w:p w:rsidR="0060323E" w:rsidRPr="00877C7B" w:rsidRDefault="0060323E" w:rsidP="0060323E">
            <w:pPr>
              <w:spacing w:after="0" w:line="240" w:lineRule="auto"/>
              <w:jc w:val="center"/>
              <w:rPr>
                <w:rFonts w:eastAsia="Times New Roman" w:cstheme="minorHAnsi"/>
                <w:sz w:val="20"/>
                <w:szCs w:val="18"/>
              </w:rPr>
            </w:pPr>
            <w:r w:rsidRPr="00877C7B">
              <w:rPr>
                <w:rFonts w:eastAsia="Times New Roman" w:cstheme="minorHAnsi"/>
                <w:sz w:val="20"/>
                <w:szCs w:val="18"/>
              </w:rPr>
              <w:t> </w:t>
            </w:r>
          </w:p>
        </w:tc>
      </w:tr>
      <w:tr w:rsidR="0060323E" w:rsidRPr="00877C7B" w:rsidTr="00552D21">
        <w:trPr>
          <w:trHeight w:val="270"/>
        </w:trPr>
        <w:tc>
          <w:tcPr>
            <w:tcW w:w="1682" w:type="pct"/>
            <w:shd w:val="clear" w:color="000000" w:fill="FDE9D9"/>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bCs/>
                <w:sz w:val="20"/>
                <w:szCs w:val="20"/>
              </w:rPr>
              <w:t>Capital Expenditures</w:t>
            </w:r>
          </w:p>
        </w:tc>
        <w:tc>
          <w:tcPr>
            <w:tcW w:w="3318" w:type="pct"/>
            <w:gridSpan w:val="5"/>
            <w:shd w:val="clear" w:color="000000" w:fill="FDE9D9"/>
            <w:noWrap/>
            <w:vAlign w:val="center"/>
            <w:hideMark/>
          </w:tcPr>
          <w:p w:rsidR="0060323E" w:rsidRPr="00877C7B" w:rsidRDefault="0060323E" w:rsidP="0060323E">
            <w:pPr>
              <w:spacing w:after="0" w:line="240" w:lineRule="auto"/>
              <w:rPr>
                <w:rFonts w:eastAsia="Times New Roman" w:cstheme="minorHAnsi"/>
                <w:sz w:val="18"/>
                <w:szCs w:val="18"/>
              </w:rPr>
            </w:pPr>
            <w:r w:rsidRPr="00877C7B">
              <w:rPr>
                <w:rFonts w:eastAsia="Times New Roman" w:cstheme="minorHAnsi"/>
                <w:sz w:val="18"/>
                <w:szCs w:val="18"/>
              </w:rPr>
              <w:t> </w:t>
            </w:r>
          </w:p>
        </w:tc>
      </w:tr>
      <w:tr w:rsidR="0060323E" w:rsidRPr="00877C7B" w:rsidTr="00552D21">
        <w:trPr>
          <w:trHeight w:val="525"/>
        </w:trPr>
        <w:tc>
          <w:tcPr>
            <w:tcW w:w="1682" w:type="pct"/>
            <w:shd w:val="clear" w:color="auto" w:fill="auto"/>
            <w:vAlign w:val="center"/>
            <w:hideMark/>
          </w:tcPr>
          <w:p w:rsidR="0060323E" w:rsidRPr="00877C7B" w:rsidRDefault="00DE0255" w:rsidP="0060323E">
            <w:pPr>
              <w:spacing w:after="0" w:line="240" w:lineRule="auto"/>
              <w:rPr>
                <w:rFonts w:eastAsia="Times New Roman" w:cstheme="minorHAnsi"/>
                <w:b/>
                <w:bCs/>
                <w:sz w:val="20"/>
                <w:szCs w:val="18"/>
              </w:rPr>
            </w:pPr>
            <w:r w:rsidRPr="00877C7B">
              <w:rPr>
                <w:rFonts w:eastAsia="Times New Roman" w:cstheme="minorHAnsi"/>
                <w:b/>
                <w:sz w:val="20"/>
                <w:szCs w:val="20"/>
              </w:rPr>
              <w:t>Increase in Non-Financial Assets</w:t>
            </w:r>
          </w:p>
        </w:tc>
        <w:tc>
          <w:tcPr>
            <w:tcW w:w="3318" w:type="pct"/>
            <w:gridSpan w:val="5"/>
            <w:shd w:val="clear" w:color="auto" w:fill="auto"/>
            <w:noWrap/>
            <w:vAlign w:val="center"/>
            <w:hideMark/>
          </w:tcPr>
          <w:p w:rsidR="0060323E" w:rsidRPr="00877C7B" w:rsidRDefault="0060323E" w:rsidP="0060323E">
            <w:pPr>
              <w:spacing w:after="0" w:line="240" w:lineRule="auto"/>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6,4%</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6,2%</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7,0%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6,8%</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5,8%</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5,5%</w:t>
            </w:r>
          </w:p>
        </w:tc>
      </w:tr>
      <w:tr w:rsidR="00B36B2A" w:rsidRPr="00877C7B" w:rsidTr="00552D21">
        <w:trPr>
          <w:trHeight w:val="270"/>
        </w:trPr>
        <w:tc>
          <w:tcPr>
            <w:tcW w:w="1682" w:type="pct"/>
            <w:shd w:val="clear" w:color="auto" w:fill="auto"/>
            <w:vAlign w:val="center"/>
            <w:hideMark/>
          </w:tcPr>
          <w:p w:rsidR="00B36B2A" w:rsidRPr="00877C7B" w:rsidRDefault="00CC0BC7" w:rsidP="00B36B2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(October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8,2%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7,9%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7,0%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6,3%</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6,5%</w:t>
            </w:r>
          </w:p>
        </w:tc>
      </w:tr>
      <w:tr w:rsidR="00B36B2A" w:rsidRPr="00877C7B" w:rsidTr="00552D21">
        <w:trPr>
          <w:trHeight w:val="315"/>
        </w:trPr>
        <w:tc>
          <w:tcPr>
            <w:tcW w:w="1682" w:type="pct"/>
            <w:shd w:val="clear" w:color="auto" w:fill="auto"/>
            <w:noWrap/>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1,3%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58" w:type="pct"/>
            <w:shd w:val="clear" w:color="000000" w:fill="FDE9D9"/>
            <w:noWrap/>
            <w:vAlign w:val="center"/>
            <w:hideMark/>
          </w:tcPr>
          <w:p w:rsidR="00B36B2A" w:rsidRPr="00877C7B" w:rsidRDefault="00B36B2A" w:rsidP="00B36B2A">
            <w:pPr>
              <w:spacing w:after="0" w:line="240" w:lineRule="auto"/>
              <w:rPr>
                <w:rFonts w:eastAsia="Times New Roman" w:cstheme="minorHAnsi"/>
              </w:rPr>
            </w:pPr>
            <w:r w:rsidRPr="00877C7B">
              <w:rPr>
                <w:rFonts w:eastAsia="Times New Roman" w:cstheme="minorHAnsi"/>
              </w:rPr>
              <w:t> </w:t>
            </w:r>
          </w:p>
        </w:tc>
      </w:tr>
      <w:tr w:rsidR="0060323E" w:rsidRPr="00877C7B" w:rsidTr="00552D21">
        <w:trPr>
          <w:trHeight w:val="270"/>
        </w:trPr>
        <w:tc>
          <w:tcPr>
            <w:tcW w:w="5000" w:type="pct"/>
            <w:gridSpan w:val="6"/>
            <w:shd w:val="clear" w:color="000000" w:fill="FDE9D9"/>
            <w:vAlign w:val="center"/>
            <w:hideMark/>
          </w:tcPr>
          <w:p w:rsidR="0060323E" w:rsidRPr="00877C7B" w:rsidRDefault="0060323E" w:rsidP="0060323E">
            <w:pPr>
              <w:spacing w:after="0" w:line="240" w:lineRule="auto"/>
              <w:jc w:val="center"/>
              <w:rPr>
                <w:rFonts w:eastAsia="Times New Roman" w:cstheme="minorHAnsi"/>
                <w:b/>
                <w:bCs/>
                <w:sz w:val="20"/>
                <w:szCs w:val="18"/>
              </w:rPr>
            </w:pPr>
            <w:r w:rsidRPr="00877C7B">
              <w:rPr>
                <w:rFonts w:eastAsia="Times New Roman" w:cstheme="minorHAnsi"/>
                <w:b/>
                <w:bCs/>
                <w:sz w:val="20"/>
                <w:szCs w:val="18"/>
              </w:rPr>
              <w:t> </w:t>
            </w:r>
          </w:p>
        </w:tc>
      </w:tr>
      <w:tr w:rsidR="00DE0255" w:rsidRPr="00877C7B" w:rsidTr="00552D21">
        <w:trPr>
          <w:trHeight w:val="525"/>
        </w:trPr>
        <w:tc>
          <w:tcPr>
            <w:tcW w:w="1682" w:type="pct"/>
            <w:shd w:val="clear" w:color="auto" w:fill="auto"/>
            <w:vAlign w:val="center"/>
            <w:hideMark/>
          </w:tcPr>
          <w:p w:rsidR="00DE0255" w:rsidRPr="00877C7B" w:rsidRDefault="00DE0255" w:rsidP="00DE0255">
            <w:pPr>
              <w:spacing w:after="0" w:line="240" w:lineRule="auto"/>
              <w:rPr>
                <w:rFonts w:eastAsia="Times New Roman" w:cstheme="minorHAnsi"/>
                <w:b/>
                <w:bCs/>
                <w:sz w:val="20"/>
                <w:szCs w:val="18"/>
              </w:rPr>
            </w:pPr>
            <w:r w:rsidRPr="00877C7B">
              <w:rPr>
                <w:rFonts w:eastAsia="Times New Roman" w:cstheme="minorHAnsi"/>
                <w:b/>
                <w:sz w:val="20"/>
                <w:szCs w:val="20"/>
              </w:rPr>
              <w:t>Increase in Financial Assets</w:t>
            </w:r>
          </w:p>
        </w:tc>
        <w:tc>
          <w:tcPr>
            <w:tcW w:w="3318" w:type="pct"/>
            <w:gridSpan w:val="5"/>
            <w:shd w:val="clear" w:color="auto" w:fill="auto"/>
            <w:noWrap/>
            <w:vAlign w:val="center"/>
            <w:hideMark/>
          </w:tcPr>
          <w:p w:rsidR="00DE0255" w:rsidRPr="00877C7B" w:rsidRDefault="00DE0255" w:rsidP="00DE0255">
            <w:pPr>
              <w:spacing w:after="0" w:line="240" w:lineRule="auto"/>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2020-2023 forecast (December 2019)</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(July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0,3%</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0,6%</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r>
      <w:tr w:rsidR="00B36B2A" w:rsidRPr="00877C7B" w:rsidTr="00552D21">
        <w:trPr>
          <w:trHeight w:val="270"/>
        </w:trPr>
        <w:tc>
          <w:tcPr>
            <w:tcW w:w="1682" w:type="pct"/>
            <w:shd w:val="clear" w:color="auto" w:fill="auto"/>
            <w:vAlign w:val="center"/>
            <w:hideMark/>
          </w:tcPr>
          <w:p w:rsidR="00B36B2A" w:rsidRPr="00877C7B" w:rsidRDefault="00CC0BC7" w:rsidP="00B36B2A">
            <w:pPr>
              <w:spacing w:after="0" w:line="240" w:lineRule="auto"/>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B36B2A" w:rsidRPr="00877C7B" w:rsidTr="00552D21">
        <w:trPr>
          <w:trHeight w:val="525"/>
        </w:trPr>
        <w:tc>
          <w:tcPr>
            <w:tcW w:w="1682" w:type="pct"/>
            <w:shd w:val="clear" w:color="auto" w:fill="auto"/>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2021-2024 forecast (October 2020)</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0,5%</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c>
          <w:tcPr>
            <w:tcW w:w="658" w:type="pct"/>
            <w:shd w:val="clear" w:color="000000" w:fill="FDE9D9"/>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0,4%</w:t>
            </w:r>
          </w:p>
        </w:tc>
      </w:tr>
      <w:tr w:rsidR="00B36B2A" w:rsidRPr="00877C7B" w:rsidTr="00552D21">
        <w:trPr>
          <w:trHeight w:val="315"/>
        </w:trPr>
        <w:tc>
          <w:tcPr>
            <w:tcW w:w="1682" w:type="pct"/>
            <w:shd w:val="clear" w:color="auto" w:fill="auto"/>
            <w:noWrap/>
            <w:vAlign w:val="center"/>
            <w:hideMark/>
          </w:tcPr>
          <w:p w:rsidR="00B36B2A" w:rsidRPr="00877C7B" w:rsidRDefault="00B36B2A" w:rsidP="00B36B2A">
            <w:pPr>
              <w:spacing w:after="0" w:line="240" w:lineRule="auto"/>
              <w:ind w:firstLineChars="100" w:firstLine="200"/>
              <w:rPr>
                <w:rFonts w:eastAsia="Times New Roman" w:cstheme="minorHAnsi"/>
                <w:sz w:val="20"/>
                <w:szCs w:val="18"/>
              </w:rPr>
            </w:pPr>
            <w:r w:rsidRPr="00877C7B">
              <w:rPr>
                <w:rFonts w:eastAsia="Times New Roman" w:cstheme="minorHAnsi"/>
                <w:sz w:val="20"/>
                <w:szCs w:val="18"/>
              </w:rPr>
              <w:t>Difference</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-0,2%</w:t>
            </w:r>
          </w:p>
        </w:tc>
        <w:tc>
          <w:tcPr>
            <w:tcW w:w="665" w:type="pct"/>
            <w:shd w:val="clear" w:color="auto" w:fill="auto"/>
            <w:noWrap/>
            <w:vAlign w:val="center"/>
            <w:hideMark/>
          </w:tcPr>
          <w:p w:rsidR="00B36B2A" w:rsidRPr="00877C7B" w:rsidRDefault="00B36B2A" w:rsidP="00B36B2A">
            <w:pPr>
              <w:spacing w:after="0" w:line="240" w:lineRule="auto"/>
              <w:jc w:val="center"/>
              <w:rPr>
                <w:rFonts w:eastAsia="Times New Roman" w:cstheme="minorHAnsi"/>
                <w:sz w:val="18"/>
                <w:szCs w:val="18"/>
              </w:rPr>
            </w:pPr>
            <w:r w:rsidRPr="00877C7B">
              <w:rPr>
                <w:rFonts w:eastAsia="Times New Roman" w:cstheme="minorHAnsi"/>
                <w:sz w:val="18"/>
                <w:szCs w:val="18"/>
              </w:rPr>
              <w:t>-0,1%</w:t>
            </w:r>
          </w:p>
        </w:tc>
        <w:tc>
          <w:tcPr>
            <w:tcW w:w="658" w:type="pct"/>
            <w:shd w:val="clear" w:color="000000" w:fill="FDE9D9"/>
            <w:noWrap/>
            <w:vAlign w:val="center"/>
            <w:hideMark/>
          </w:tcPr>
          <w:p w:rsidR="00B36B2A" w:rsidRPr="00877C7B" w:rsidRDefault="00B36B2A" w:rsidP="00B36B2A">
            <w:pPr>
              <w:spacing w:after="0" w:line="240" w:lineRule="auto"/>
              <w:rPr>
                <w:rFonts w:eastAsia="Times New Roman" w:cstheme="minorHAnsi"/>
              </w:rPr>
            </w:pPr>
            <w:r w:rsidRPr="00877C7B">
              <w:rPr>
                <w:rFonts w:eastAsia="Times New Roman" w:cstheme="minorHAnsi"/>
              </w:rPr>
              <w:t> </w:t>
            </w:r>
          </w:p>
        </w:tc>
      </w:tr>
    </w:tbl>
    <w:p w:rsidR="00CA14C9" w:rsidRPr="00877C7B" w:rsidRDefault="00CA14C9" w:rsidP="00CA14C9">
      <w:pPr>
        <w:rPr>
          <w:rFonts w:cstheme="minorHAnsi"/>
        </w:rPr>
      </w:pPr>
    </w:p>
    <w:p w:rsidR="00CA14C9" w:rsidRPr="00877C7B" w:rsidRDefault="00CA14C9" w:rsidP="00CA14C9">
      <w:pPr>
        <w:rPr>
          <w:rFonts w:cstheme="minorHAnsi"/>
        </w:rPr>
      </w:pPr>
    </w:p>
    <w:p w:rsidR="007526FA" w:rsidRPr="00877C7B" w:rsidRDefault="00AF6BB5" w:rsidP="003C31A8">
      <w:pPr>
        <w:pStyle w:val="Heading2"/>
        <w:numPr>
          <w:ilvl w:val="2"/>
          <w:numId w:val="7"/>
        </w:numPr>
        <w:rPr>
          <w:rFonts w:asciiTheme="minorHAnsi" w:hAnsiTheme="minorHAnsi" w:cstheme="minorHAnsi"/>
        </w:rPr>
      </w:pPr>
      <w:bookmarkStart w:id="4" w:name="_Toc58952846"/>
      <w:r w:rsidRPr="00877C7B">
        <w:rPr>
          <w:rFonts w:asciiTheme="minorHAnsi" w:hAnsiTheme="minorHAnsi" w:cstheme="minorHAnsi"/>
        </w:rPr>
        <w:t>Medium-ter</w:t>
      </w:r>
      <w:r w:rsidR="00CC0BC7" w:rsidRPr="00877C7B">
        <w:rPr>
          <w:rFonts w:asciiTheme="minorHAnsi" w:hAnsiTheme="minorHAnsi" w:cstheme="minorHAnsi"/>
        </w:rPr>
        <w:t>m Fiscal F</w:t>
      </w:r>
      <w:r w:rsidR="007526FA" w:rsidRPr="00877C7B">
        <w:rPr>
          <w:rFonts w:asciiTheme="minorHAnsi" w:hAnsiTheme="minorHAnsi" w:cstheme="minorHAnsi"/>
        </w:rPr>
        <w:t>r</w:t>
      </w:r>
      <w:r w:rsidR="001C34E6" w:rsidRPr="00877C7B">
        <w:rPr>
          <w:rFonts w:asciiTheme="minorHAnsi" w:hAnsiTheme="minorHAnsi" w:cstheme="minorHAnsi"/>
          <w:lang w:val="ka-GE"/>
        </w:rPr>
        <w:t>a</w:t>
      </w:r>
      <w:r w:rsidR="00CC0BC7" w:rsidRPr="00877C7B">
        <w:rPr>
          <w:rFonts w:asciiTheme="minorHAnsi" w:hAnsiTheme="minorHAnsi" w:cstheme="minorHAnsi"/>
        </w:rPr>
        <w:t>mework C</w:t>
      </w:r>
      <w:r w:rsidRPr="00877C7B">
        <w:rPr>
          <w:rFonts w:asciiTheme="minorHAnsi" w:hAnsiTheme="minorHAnsi" w:cstheme="minorHAnsi"/>
        </w:rPr>
        <w:t xml:space="preserve">ompliance with </w:t>
      </w:r>
      <w:r w:rsidR="00CC0BC7" w:rsidRPr="00877C7B">
        <w:rPr>
          <w:rFonts w:asciiTheme="minorHAnsi" w:hAnsiTheme="minorHAnsi" w:cstheme="minorHAnsi"/>
        </w:rPr>
        <w:t>Fiscal Rules C</w:t>
      </w:r>
      <w:r w:rsidR="00D6544E" w:rsidRPr="00877C7B">
        <w:rPr>
          <w:rFonts w:asciiTheme="minorHAnsi" w:hAnsiTheme="minorHAnsi" w:cstheme="minorHAnsi"/>
        </w:rPr>
        <w:t>onsidered by the Organic L</w:t>
      </w:r>
      <w:r w:rsidR="00D51F00" w:rsidRPr="00877C7B">
        <w:rPr>
          <w:rFonts w:asciiTheme="minorHAnsi" w:hAnsiTheme="minorHAnsi" w:cstheme="minorHAnsi"/>
        </w:rPr>
        <w:t xml:space="preserve">aw of </w:t>
      </w:r>
      <w:r w:rsidR="00D6544E" w:rsidRPr="00877C7B">
        <w:rPr>
          <w:rFonts w:asciiTheme="minorHAnsi" w:hAnsiTheme="minorHAnsi" w:cstheme="minorHAnsi"/>
        </w:rPr>
        <w:t xml:space="preserve">Georgia </w:t>
      </w:r>
      <w:r w:rsidR="00D51F00" w:rsidRPr="00877C7B">
        <w:rPr>
          <w:rFonts w:asciiTheme="minorHAnsi" w:hAnsiTheme="minorHAnsi" w:cstheme="minorHAnsi"/>
        </w:rPr>
        <w:t>“</w:t>
      </w:r>
      <w:r w:rsidR="00D6544E" w:rsidRPr="00877C7B">
        <w:rPr>
          <w:rFonts w:asciiTheme="minorHAnsi" w:hAnsiTheme="minorHAnsi" w:cstheme="minorHAnsi"/>
        </w:rPr>
        <w:t>The Economic Liberty A</w:t>
      </w:r>
      <w:r w:rsidR="00D51F00" w:rsidRPr="00877C7B">
        <w:rPr>
          <w:rFonts w:asciiTheme="minorHAnsi" w:hAnsiTheme="minorHAnsi" w:cstheme="minorHAnsi"/>
        </w:rPr>
        <w:t>ct”</w:t>
      </w:r>
      <w:bookmarkEnd w:id="4"/>
    </w:p>
    <w:p w:rsidR="00EF6282" w:rsidRPr="00877C7B" w:rsidRDefault="00EF6282" w:rsidP="00E70935">
      <w:pPr>
        <w:spacing w:after="240" w:line="240" w:lineRule="auto"/>
        <w:jc w:val="both"/>
        <w:rPr>
          <w:rFonts w:cstheme="minorHAnsi"/>
        </w:rPr>
      </w:pPr>
    </w:p>
    <w:p w:rsidR="00877C7B" w:rsidRDefault="00EF6282" w:rsidP="00877C7B">
      <w:pPr>
        <w:spacing w:after="0" w:line="276" w:lineRule="auto"/>
        <w:ind w:firstLine="720"/>
        <w:jc w:val="both"/>
        <w:rPr>
          <w:rFonts w:cstheme="minorHAnsi"/>
        </w:rPr>
      </w:pPr>
      <w:r w:rsidRPr="00877C7B">
        <w:rPr>
          <w:rFonts w:cstheme="minorHAnsi"/>
        </w:rPr>
        <w:t xml:space="preserve">According to the organic law of Georgia “the economic liberty act”, based on the state of emergency, Georgian government had </w:t>
      </w:r>
      <w:r w:rsidR="007F253A" w:rsidRPr="00877C7B">
        <w:rPr>
          <w:rFonts w:cstheme="minorHAnsi"/>
        </w:rPr>
        <w:t>an</w:t>
      </w:r>
      <w:r w:rsidRPr="00877C7B">
        <w:rPr>
          <w:rFonts w:cstheme="minorHAnsi"/>
        </w:rPr>
        <w:t xml:space="preserve"> opportunity to operate </w:t>
      </w:r>
      <w:r w:rsidR="007F253A" w:rsidRPr="00877C7B">
        <w:rPr>
          <w:rFonts w:cstheme="minorHAnsi"/>
        </w:rPr>
        <w:t xml:space="preserve">beyond the </w:t>
      </w:r>
      <w:r w:rsidR="002F7CA2" w:rsidRPr="00877C7B">
        <w:rPr>
          <w:rFonts w:cstheme="minorHAnsi"/>
        </w:rPr>
        <w:t xml:space="preserve">limits of </w:t>
      </w:r>
      <w:r w:rsidR="007F253A" w:rsidRPr="00877C7B">
        <w:rPr>
          <w:rFonts w:cstheme="minorHAnsi"/>
        </w:rPr>
        <w:t>fiscal parameters</w:t>
      </w:r>
      <w:r w:rsidR="002F7CA2" w:rsidRPr="00877C7B">
        <w:rPr>
          <w:rFonts w:cstheme="minorHAnsi"/>
        </w:rPr>
        <w:t xml:space="preserve"> </w:t>
      </w:r>
      <w:r w:rsidR="007F253A" w:rsidRPr="00877C7B">
        <w:rPr>
          <w:rFonts w:cstheme="minorHAnsi"/>
        </w:rPr>
        <w:t xml:space="preserve">defined by the </w:t>
      </w:r>
      <w:r w:rsidR="002F7CA2" w:rsidRPr="00877C7B">
        <w:rPr>
          <w:rFonts w:cstheme="minorHAnsi"/>
        </w:rPr>
        <w:t>legislation</w:t>
      </w:r>
      <w:r w:rsidR="0050277D" w:rsidRPr="00877C7B">
        <w:rPr>
          <w:rFonts w:cstheme="minorHAnsi"/>
        </w:rPr>
        <w:t xml:space="preserve">, in order to </w:t>
      </w:r>
      <w:r w:rsidR="00BE47B1" w:rsidRPr="00877C7B">
        <w:rPr>
          <w:rFonts w:cstheme="minorHAnsi"/>
        </w:rPr>
        <w:t xml:space="preserve">finance the abovementioned measures smoothly. </w:t>
      </w:r>
    </w:p>
    <w:p w:rsidR="00877C7B" w:rsidRDefault="00474F7F" w:rsidP="00877C7B">
      <w:pPr>
        <w:spacing w:after="240" w:line="276" w:lineRule="auto"/>
        <w:ind w:firstLine="720"/>
        <w:jc w:val="both"/>
        <w:rPr>
          <w:rFonts w:cstheme="minorHAnsi"/>
        </w:rPr>
      </w:pPr>
      <w:r w:rsidRPr="00877C7B">
        <w:rPr>
          <w:rFonts w:cstheme="minorHAnsi"/>
        </w:rPr>
        <w:t xml:space="preserve">Considering that GDP data declined during the forecasting period, while the current expenses increased due to the measures needed for pandemic responses, </w:t>
      </w:r>
      <w:r w:rsidR="00614973" w:rsidRPr="00877C7B">
        <w:rPr>
          <w:rFonts w:cstheme="minorHAnsi"/>
        </w:rPr>
        <w:t xml:space="preserve">the </w:t>
      </w:r>
      <w:r w:rsidRPr="00877C7B">
        <w:rPr>
          <w:rFonts w:cstheme="minorHAnsi"/>
        </w:rPr>
        <w:t xml:space="preserve">budget deficit has increased up to 8.5 percent of GDP under the 2020 forecast, and will decrease to 2.9 percent for 2023, which is provided by the organic law of Georgia “the economic liberty act”. </w:t>
      </w:r>
    </w:p>
    <w:p w:rsidR="00474F7F" w:rsidRPr="00877C7B" w:rsidRDefault="00954FB1" w:rsidP="00877C7B">
      <w:pPr>
        <w:spacing w:after="240" w:line="276" w:lineRule="auto"/>
        <w:ind w:firstLine="720"/>
        <w:jc w:val="both"/>
        <w:rPr>
          <w:rFonts w:cstheme="minorHAnsi"/>
        </w:rPr>
      </w:pPr>
      <w:r w:rsidRPr="00877C7B">
        <w:rPr>
          <w:rFonts w:cstheme="minorHAnsi"/>
        </w:rPr>
        <w:t xml:space="preserve">It is noteworthy that there are several reasons </w:t>
      </w:r>
      <w:r w:rsidR="00167AD9" w:rsidRPr="00877C7B">
        <w:rPr>
          <w:rFonts w:cstheme="minorHAnsi"/>
        </w:rPr>
        <w:t>for</w:t>
      </w:r>
      <w:r w:rsidRPr="00877C7B">
        <w:rPr>
          <w:rFonts w:cstheme="minorHAnsi"/>
        </w:rPr>
        <w:t xml:space="preserve"> increasing the budget deficit from 2.5 percent to 8.5 percent of GDP (by 6 p.p) in 2020: </w:t>
      </w:r>
    </w:p>
    <w:p w:rsidR="00954FB1" w:rsidRPr="00877C7B" w:rsidRDefault="00954FB1" w:rsidP="00877C7B">
      <w:pPr>
        <w:pStyle w:val="ListParagraph"/>
        <w:numPr>
          <w:ilvl w:val="0"/>
          <w:numId w:val="3"/>
        </w:numPr>
        <w:spacing w:after="240" w:line="276" w:lineRule="auto"/>
        <w:jc w:val="both"/>
        <w:rPr>
          <w:rFonts w:cstheme="minorHAnsi"/>
        </w:rPr>
      </w:pPr>
      <w:r w:rsidRPr="00877C7B">
        <w:rPr>
          <w:rFonts w:cstheme="minorHAnsi"/>
        </w:rPr>
        <w:t>Declining of GDP – 0.2 percentage point</w:t>
      </w:r>
      <w:r w:rsidR="00E957B5" w:rsidRPr="00877C7B">
        <w:rPr>
          <w:rFonts w:cstheme="minorHAnsi"/>
        </w:rPr>
        <w:t>s</w:t>
      </w:r>
      <w:r w:rsidRPr="00877C7B">
        <w:rPr>
          <w:rFonts w:cstheme="minorHAnsi"/>
        </w:rPr>
        <w:t xml:space="preserve">; </w:t>
      </w:r>
    </w:p>
    <w:p w:rsidR="00954FB1" w:rsidRPr="00877C7B" w:rsidRDefault="00E957B5" w:rsidP="00877C7B">
      <w:pPr>
        <w:pStyle w:val="ListParagraph"/>
        <w:numPr>
          <w:ilvl w:val="0"/>
          <w:numId w:val="3"/>
        </w:numPr>
        <w:spacing w:after="240" w:line="276" w:lineRule="auto"/>
        <w:jc w:val="both"/>
        <w:rPr>
          <w:rFonts w:cstheme="minorHAnsi"/>
        </w:rPr>
      </w:pPr>
      <w:r w:rsidRPr="00877C7B">
        <w:rPr>
          <w:rFonts w:cstheme="minorHAnsi"/>
        </w:rPr>
        <w:t>Loss in n</w:t>
      </w:r>
      <w:r w:rsidR="00425FC5" w:rsidRPr="00877C7B">
        <w:rPr>
          <w:rFonts w:cstheme="minorHAnsi"/>
        </w:rPr>
        <w:t>on</w:t>
      </w:r>
      <w:r w:rsidRPr="00877C7B">
        <w:rPr>
          <w:rFonts w:cstheme="minorHAnsi"/>
        </w:rPr>
        <w:t xml:space="preserve">-deficit revenue – 2.3 percentage points, among them 0.7 p.p is due to </w:t>
      </w:r>
      <w:r w:rsidR="00167AD9" w:rsidRPr="00877C7B">
        <w:rPr>
          <w:rFonts w:cstheme="minorHAnsi"/>
        </w:rPr>
        <w:t>the one-</w:t>
      </w:r>
      <w:r w:rsidR="00F92DAD" w:rsidRPr="00877C7B">
        <w:rPr>
          <w:rFonts w:cstheme="minorHAnsi"/>
        </w:rPr>
        <w:t>time tax concessions</w:t>
      </w:r>
      <w:r w:rsidR="00AA5CE3" w:rsidRPr="00877C7B">
        <w:rPr>
          <w:rFonts w:cstheme="minorHAnsi"/>
        </w:rPr>
        <w:t xml:space="preserve"> provided under the anti-crisis plan, while 1.6 p.p is due to the slowdown of economic growth; </w:t>
      </w:r>
    </w:p>
    <w:p w:rsidR="00AA5CE3" w:rsidRPr="00877C7B" w:rsidRDefault="00AA5CE3" w:rsidP="00877C7B">
      <w:pPr>
        <w:pStyle w:val="ListParagraph"/>
        <w:numPr>
          <w:ilvl w:val="0"/>
          <w:numId w:val="3"/>
        </w:numPr>
        <w:spacing w:after="240" w:line="276" w:lineRule="auto"/>
        <w:jc w:val="both"/>
        <w:rPr>
          <w:rFonts w:cstheme="minorHAnsi"/>
        </w:rPr>
      </w:pPr>
      <w:r w:rsidRPr="00877C7B">
        <w:rPr>
          <w:rFonts w:cstheme="minorHAnsi"/>
        </w:rPr>
        <w:t>The necessity of th</w:t>
      </w:r>
      <w:r w:rsidR="00F92DAD" w:rsidRPr="00877C7B">
        <w:rPr>
          <w:rFonts w:cstheme="minorHAnsi"/>
        </w:rPr>
        <w:t>e additional spending to response</w:t>
      </w:r>
      <w:r w:rsidRPr="00877C7B">
        <w:rPr>
          <w:rFonts w:cstheme="minorHAnsi"/>
        </w:rPr>
        <w:t xml:space="preserve"> the new coronavirus and </w:t>
      </w:r>
      <w:r w:rsidR="00C57B9B" w:rsidRPr="00877C7B">
        <w:rPr>
          <w:rFonts w:cstheme="minorHAnsi"/>
        </w:rPr>
        <w:t xml:space="preserve">relief its impacts – 3.5 percentage points; </w:t>
      </w:r>
    </w:p>
    <w:p w:rsidR="00C57B9B" w:rsidRPr="00877C7B" w:rsidRDefault="00C57B9B" w:rsidP="00877C7B">
      <w:pPr>
        <w:spacing w:after="240" w:line="276" w:lineRule="auto"/>
        <w:ind w:firstLine="720"/>
        <w:jc w:val="both"/>
        <w:rPr>
          <w:rFonts w:cstheme="minorHAnsi"/>
        </w:rPr>
      </w:pPr>
      <w:r w:rsidRPr="00877C7B">
        <w:rPr>
          <w:rFonts w:cstheme="minorHAnsi"/>
        </w:rPr>
        <w:t xml:space="preserve">Among these factors, </w:t>
      </w:r>
      <w:r w:rsidR="00AC2551" w:rsidRPr="00877C7B">
        <w:rPr>
          <w:rFonts w:cstheme="minorHAnsi"/>
        </w:rPr>
        <w:t xml:space="preserve">declining of GDP base and loss in the revenue (1.8 p.p in total) will have an impact on the medium-term forecasts. </w:t>
      </w:r>
      <w:r w:rsidR="00016453" w:rsidRPr="00877C7B">
        <w:rPr>
          <w:rFonts w:cstheme="minorHAnsi"/>
        </w:rPr>
        <w:t xml:space="preserve">Most of </w:t>
      </w:r>
      <w:r w:rsidR="00167AD9" w:rsidRPr="00877C7B">
        <w:rPr>
          <w:rFonts w:cstheme="minorHAnsi"/>
        </w:rPr>
        <w:t xml:space="preserve">the </w:t>
      </w:r>
      <w:r w:rsidR="00016453" w:rsidRPr="00877C7B">
        <w:rPr>
          <w:rFonts w:cstheme="minorHAnsi"/>
        </w:rPr>
        <w:t>necessary additional spending (tr</w:t>
      </w:r>
      <w:r w:rsidR="00167AD9" w:rsidRPr="00877C7B">
        <w:rPr>
          <w:rFonts w:cstheme="minorHAnsi"/>
        </w:rPr>
        <w:t>e</w:t>
      </w:r>
      <w:r w:rsidR="00016453" w:rsidRPr="00877C7B">
        <w:rPr>
          <w:rFonts w:cstheme="minorHAnsi"/>
        </w:rPr>
        <w:t xml:space="preserve">atment, quarantine, </w:t>
      </w:r>
      <w:r w:rsidR="00F92DAD" w:rsidRPr="00877C7B">
        <w:rPr>
          <w:rFonts w:cstheme="minorHAnsi"/>
        </w:rPr>
        <w:t>3-</w:t>
      </w:r>
      <w:r w:rsidR="00167AD9" w:rsidRPr="00877C7B">
        <w:rPr>
          <w:rFonts w:cstheme="minorHAnsi"/>
        </w:rPr>
        <w:t xml:space="preserve">6 months </w:t>
      </w:r>
      <w:r w:rsidR="00016453" w:rsidRPr="00877C7B">
        <w:rPr>
          <w:rFonts w:cstheme="minorHAnsi"/>
        </w:rPr>
        <w:t>social benefits</w:t>
      </w:r>
      <w:r w:rsidR="00D00D62" w:rsidRPr="00877C7B">
        <w:rPr>
          <w:rFonts w:cstheme="minorHAnsi"/>
        </w:rPr>
        <w:t xml:space="preserve"> and one-time packages</w:t>
      </w:r>
      <w:r w:rsidR="00016453" w:rsidRPr="00877C7B">
        <w:rPr>
          <w:rFonts w:cstheme="minorHAnsi"/>
        </w:rPr>
        <w:t>) and tax concessions (</w:t>
      </w:r>
      <w:r w:rsidR="00D00D62" w:rsidRPr="00877C7B">
        <w:rPr>
          <w:rFonts w:cstheme="minorHAnsi"/>
        </w:rPr>
        <w:t>4.2 p.p in total) will have one-</w:t>
      </w:r>
      <w:r w:rsidR="00016453" w:rsidRPr="00877C7B">
        <w:rPr>
          <w:rFonts w:cstheme="minorHAnsi"/>
        </w:rPr>
        <w:t xml:space="preserve">time impact and will affect less on the medium-term. </w:t>
      </w:r>
    </w:p>
    <w:tbl>
      <w:tblPr>
        <w:tblW w:w="515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122"/>
        <w:gridCol w:w="927"/>
        <w:gridCol w:w="713"/>
        <w:gridCol w:w="713"/>
        <w:gridCol w:w="713"/>
        <w:gridCol w:w="713"/>
      </w:tblGrid>
      <w:tr w:rsidR="00846A13" w:rsidRPr="00877C7B" w:rsidTr="00552D21">
        <w:trPr>
          <w:trHeight w:val="113"/>
          <w:tblHeader/>
        </w:trPr>
        <w:tc>
          <w:tcPr>
            <w:tcW w:w="2906" w:type="pct"/>
            <w:shd w:val="clear" w:color="000000" w:fill="FFFFFF"/>
            <w:noWrap/>
            <w:vAlign w:val="center"/>
            <w:hideMark/>
          </w:tcPr>
          <w:p w:rsidR="008B7AC7" w:rsidRPr="00877C7B" w:rsidRDefault="008B7AC7" w:rsidP="00846A13">
            <w:pPr>
              <w:spacing w:after="0" w:line="240" w:lineRule="auto"/>
              <w:rPr>
                <w:rFonts w:eastAsia="Times New Roman" w:cstheme="minorHAnsi"/>
                <w:color w:val="000000"/>
                <w:sz w:val="20"/>
                <w:szCs w:val="20"/>
                <w:lang w:val="ka-GE"/>
              </w:rPr>
            </w:pPr>
            <w:r w:rsidRPr="00877C7B">
              <w:rPr>
                <w:rFonts w:eastAsia="Times New Roman" w:cstheme="minorHAnsi"/>
                <w:b/>
                <w:color w:val="000000"/>
                <w:sz w:val="20"/>
                <w:szCs w:val="20"/>
              </w:rPr>
              <w:t>Table 12. Forecast</w:t>
            </w:r>
            <w:r w:rsidR="00D00D62" w:rsidRPr="00877C7B">
              <w:rPr>
                <w:rFonts w:eastAsia="Times New Roman" w:cstheme="minorHAnsi"/>
                <w:b/>
                <w:color w:val="000000"/>
                <w:sz w:val="20"/>
                <w:szCs w:val="20"/>
              </w:rPr>
              <w:t xml:space="preserve"> of Return to the Limits Considered by the L</w:t>
            </w:r>
            <w:r w:rsidR="00846A13" w:rsidRPr="00877C7B">
              <w:rPr>
                <w:rFonts w:eastAsia="Times New Roman" w:cstheme="minorHAnsi"/>
                <w:b/>
                <w:color w:val="000000"/>
                <w:sz w:val="20"/>
                <w:szCs w:val="20"/>
              </w:rPr>
              <w:t xml:space="preserve">egislation </w:t>
            </w:r>
          </w:p>
        </w:tc>
        <w:tc>
          <w:tcPr>
            <w:tcW w:w="611" w:type="pct"/>
            <w:shd w:val="clear" w:color="000000" w:fill="FFFFFF"/>
            <w:vAlign w:val="center"/>
          </w:tcPr>
          <w:p w:rsidR="008B7AC7" w:rsidRPr="00877C7B" w:rsidRDefault="008B7AC7" w:rsidP="000B6AE4">
            <w:pPr>
              <w:spacing w:after="0" w:line="240" w:lineRule="auto"/>
              <w:jc w:val="center"/>
              <w:rPr>
                <w:rFonts w:eastAsia="Times New Roman" w:cstheme="minorHAnsi"/>
                <w:b/>
                <w:bCs/>
                <w:color w:val="000000"/>
                <w:sz w:val="20"/>
                <w:szCs w:val="20"/>
              </w:rPr>
            </w:pPr>
          </w:p>
        </w:tc>
        <w:tc>
          <w:tcPr>
            <w:tcW w:w="371" w:type="pct"/>
            <w:shd w:val="clear" w:color="000000" w:fill="FFFFFF"/>
            <w:vAlign w:val="center"/>
          </w:tcPr>
          <w:p w:rsidR="008B7AC7" w:rsidRPr="00877C7B" w:rsidRDefault="008B7AC7" w:rsidP="000B6AE4">
            <w:pPr>
              <w:spacing w:after="0" w:line="240" w:lineRule="auto"/>
              <w:jc w:val="center"/>
              <w:rPr>
                <w:rFonts w:eastAsia="Times New Roman" w:cstheme="minorHAnsi"/>
                <w:b/>
                <w:bCs/>
                <w:color w:val="000000"/>
                <w:sz w:val="20"/>
                <w:szCs w:val="20"/>
              </w:rPr>
            </w:pPr>
          </w:p>
        </w:tc>
        <w:tc>
          <w:tcPr>
            <w:tcW w:w="371" w:type="pct"/>
            <w:shd w:val="clear" w:color="000000" w:fill="FFFFFF"/>
            <w:vAlign w:val="center"/>
          </w:tcPr>
          <w:p w:rsidR="008B7AC7" w:rsidRPr="00877C7B" w:rsidRDefault="008B7AC7" w:rsidP="000B6AE4">
            <w:pPr>
              <w:spacing w:after="0" w:line="240" w:lineRule="auto"/>
              <w:jc w:val="center"/>
              <w:rPr>
                <w:rFonts w:eastAsia="Times New Roman" w:cstheme="minorHAnsi"/>
                <w:b/>
                <w:bCs/>
                <w:color w:val="000000"/>
                <w:sz w:val="20"/>
                <w:szCs w:val="20"/>
              </w:rPr>
            </w:pPr>
          </w:p>
        </w:tc>
        <w:tc>
          <w:tcPr>
            <w:tcW w:w="371" w:type="pct"/>
            <w:shd w:val="clear" w:color="000000" w:fill="FFFFFF"/>
            <w:vAlign w:val="center"/>
          </w:tcPr>
          <w:p w:rsidR="008B7AC7" w:rsidRPr="00877C7B" w:rsidRDefault="008B7AC7" w:rsidP="000B6AE4">
            <w:pPr>
              <w:spacing w:after="0" w:line="240" w:lineRule="auto"/>
              <w:jc w:val="center"/>
              <w:rPr>
                <w:rFonts w:eastAsia="Times New Roman" w:cstheme="minorHAnsi"/>
                <w:b/>
                <w:bCs/>
                <w:color w:val="000000"/>
                <w:sz w:val="20"/>
                <w:szCs w:val="20"/>
              </w:rPr>
            </w:pPr>
          </w:p>
        </w:tc>
        <w:tc>
          <w:tcPr>
            <w:tcW w:w="371" w:type="pct"/>
            <w:shd w:val="clear" w:color="000000" w:fill="FFFFFF"/>
            <w:vAlign w:val="center"/>
          </w:tcPr>
          <w:p w:rsidR="008B7AC7" w:rsidRPr="00877C7B" w:rsidRDefault="008B7AC7" w:rsidP="000B6AE4">
            <w:pPr>
              <w:spacing w:after="0" w:line="240" w:lineRule="auto"/>
              <w:jc w:val="center"/>
              <w:rPr>
                <w:rFonts w:eastAsia="Times New Roman" w:cstheme="minorHAnsi"/>
                <w:b/>
                <w:bCs/>
                <w:color w:val="000000"/>
                <w:sz w:val="20"/>
                <w:szCs w:val="20"/>
              </w:rPr>
            </w:pPr>
          </w:p>
        </w:tc>
      </w:tr>
      <w:tr w:rsidR="00846A13" w:rsidRPr="00877C7B" w:rsidTr="00552D21">
        <w:trPr>
          <w:trHeight w:val="113"/>
          <w:tblHeader/>
        </w:trPr>
        <w:tc>
          <w:tcPr>
            <w:tcW w:w="2906" w:type="pct"/>
            <w:shd w:val="clear" w:color="000000" w:fill="FFFFFF"/>
            <w:noWrap/>
            <w:vAlign w:val="center"/>
          </w:tcPr>
          <w:p w:rsidR="008B7AC7" w:rsidRPr="00877C7B" w:rsidRDefault="008B7AC7" w:rsidP="000B6AE4">
            <w:pPr>
              <w:spacing w:after="0" w:line="240" w:lineRule="auto"/>
              <w:rPr>
                <w:rFonts w:eastAsia="Times New Roman" w:cstheme="minorHAnsi"/>
                <w:color w:val="000000"/>
                <w:sz w:val="20"/>
                <w:szCs w:val="20"/>
              </w:rPr>
            </w:pPr>
          </w:p>
        </w:tc>
        <w:tc>
          <w:tcPr>
            <w:tcW w:w="611" w:type="pct"/>
            <w:shd w:val="clear" w:color="000000" w:fill="FFFFFF"/>
            <w:vAlign w:val="center"/>
          </w:tcPr>
          <w:p w:rsidR="008B7AC7" w:rsidRPr="00877C7B" w:rsidRDefault="00846A13" w:rsidP="000B6AE4">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2020</w:t>
            </w:r>
          </w:p>
        </w:tc>
        <w:tc>
          <w:tcPr>
            <w:tcW w:w="371" w:type="pct"/>
            <w:shd w:val="clear" w:color="000000" w:fill="FFFFFF"/>
            <w:vAlign w:val="center"/>
          </w:tcPr>
          <w:p w:rsidR="008B7AC7" w:rsidRPr="00877C7B" w:rsidRDefault="00846A13" w:rsidP="000B6AE4">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2021</w:t>
            </w:r>
          </w:p>
        </w:tc>
        <w:tc>
          <w:tcPr>
            <w:tcW w:w="371" w:type="pct"/>
            <w:shd w:val="clear" w:color="000000" w:fill="FFFFFF"/>
            <w:vAlign w:val="center"/>
          </w:tcPr>
          <w:p w:rsidR="008B7AC7" w:rsidRPr="00877C7B" w:rsidRDefault="00846A13" w:rsidP="000B6AE4">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2022</w:t>
            </w:r>
          </w:p>
        </w:tc>
        <w:tc>
          <w:tcPr>
            <w:tcW w:w="371" w:type="pct"/>
            <w:shd w:val="clear" w:color="000000" w:fill="FFFFFF"/>
            <w:vAlign w:val="center"/>
          </w:tcPr>
          <w:p w:rsidR="008B7AC7" w:rsidRPr="00877C7B" w:rsidRDefault="00846A13" w:rsidP="000B6AE4">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2023</w:t>
            </w:r>
          </w:p>
        </w:tc>
        <w:tc>
          <w:tcPr>
            <w:tcW w:w="371" w:type="pct"/>
            <w:shd w:val="clear" w:color="000000" w:fill="FFFFFF"/>
            <w:vAlign w:val="center"/>
          </w:tcPr>
          <w:p w:rsidR="008B7AC7" w:rsidRPr="00877C7B" w:rsidRDefault="00846A13" w:rsidP="000B6AE4">
            <w:pPr>
              <w:spacing w:after="0" w:line="240"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2024</w:t>
            </w:r>
          </w:p>
        </w:tc>
      </w:tr>
      <w:tr w:rsidR="00846A13" w:rsidRPr="00877C7B" w:rsidTr="00552D21">
        <w:trPr>
          <w:trHeight w:val="113"/>
        </w:trPr>
        <w:tc>
          <w:tcPr>
            <w:tcW w:w="2906" w:type="pct"/>
            <w:shd w:val="clear" w:color="000000" w:fill="FFFFFF"/>
            <w:vAlign w:val="center"/>
            <w:hideMark/>
          </w:tcPr>
          <w:p w:rsidR="008B7AC7" w:rsidRPr="00877C7B" w:rsidRDefault="00846A13" w:rsidP="00846A13">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xml:space="preserve">Non-deficit revenues </w:t>
            </w:r>
            <w:r w:rsidR="008B7AC7" w:rsidRPr="00877C7B">
              <w:rPr>
                <w:rFonts w:eastAsia="Times New Roman" w:cstheme="minorHAnsi"/>
                <w:color w:val="000000"/>
                <w:sz w:val="20"/>
                <w:szCs w:val="20"/>
              </w:rPr>
              <w:t>(</w:t>
            </w:r>
            <w:r w:rsidRPr="00877C7B">
              <w:rPr>
                <w:rFonts w:eastAsia="Times New Roman" w:cstheme="minorHAnsi"/>
                <w:color w:val="000000"/>
                <w:sz w:val="20"/>
                <w:szCs w:val="20"/>
              </w:rPr>
              <w:t>revenues</w:t>
            </w:r>
            <w:r w:rsidR="008B7AC7" w:rsidRPr="00877C7B">
              <w:rPr>
                <w:rFonts w:eastAsia="Times New Roman" w:cstheme="minorHAnsi"/>
                <w:color w:val="000000"/>
                <w:sz w:val="20"/>
                <w:szCs w:val="20"/>
              </w:rPr>
              <w:t xml:space="preserve"> + </w:t>
            </w:r>
            <w:r w:rsidRPr="00877C7B">
              <w:rPr>
                <w:rFonts w:eastAsia="Times New Roman" w:cstheme="minorHAnsi"/>
                <w:color w:val="000000"/>
                <w:sz w:val="20"/>
                <w:szCs w:val="20"/>
              </w:rPr>
              <w:t xml:space="preserve">decrease in non-financial assets)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25,9%</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25,5%</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26,1%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26,2%</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26,4%</w:t>
            </w:r>
          </w:p>
        </w:tc>
      </w:tr>
      <w:tr w:rsidR="00846A13" w:rsidRPr="00877C7B" w:rsidTr="00552D21">
        <w:trPr>
          <w:trHeight w:val="113"/>
        </w:trPr>
        <w:tc>
          <w:tcPr>
            <w:tcW w:w="2906" w:type="pct"/>
            <w:shd w:val="clear" w:color="000000" w:fill="FFFFFF"/>
            <w:vAlign w:val="center"/>
            <w:hideMark/>
          </w:tcPr>
          <w:p w:rsidR="008B7AC7" w:rsidRPr="00877C7B" w:rsidRDefault="008B7AC7" w:rsidP="00846A13">
            <w:pPr>
              <w:spacing w:after="0" w:line="240" w:lineRule="auto"/>
              <w:rPr>
                <w:rFonts w:eastAsia="Times New Roman" w:cstheme="minorHAnsi"/>
                <w:i/>
                <w:iCs/>
                <w:color w:val="000000"/>
                <w:sz w:val="20"/>
                <w:szCs w:val="20"/>
              </w:rPr>
            </w:pPr>
            <w:r w:rsidRPr="00877C7B">
              <w:rPr>
                <w:rFonts w:eastAsia="Times New Roman" w:cstheme="minorHAnsi"/>
                <w:i/>
                <w:iCs/>
                <w:color w:val="000000"/>
                <w:sz w:val="20"/>
                <w:szCs w:val="20"/>
              </w:rPr>
              <w:t xml:space="preserve">+/- </w:t>
            </w:r>
            <w:r w:rsidR="00846A13" w:rsidRPr="00877C7B">
              <w:rPr>
                <w:rFonts w:eastAsia="Times New Roman" w:cstheme="minorHAnsi"/>
                <w:i/>
                <w:iCs/>
                <w:color w:val="000000"/>
                <w:sz w:val="20"/>
                <w:szCs w:val="20"/>
              </w:rPr>
              <w:t xml:space="preserve">difference with previous year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-0,3%</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0,6%</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0,2%</w:t>
            </w:r>
          </w:p>
        </w:tc>
      </w:tr>
      <w:tr w:rsidR="00846A13" w:rsidRPr="00877C7B" w:rsidTr="00552D21">
        <w:trPr>
          <w:trHeight w:val="113"/>
        </w:trPr>
        <w:tc>
          <w:tcPr>
            <w:tcW w:w="2906" w:type="pct"/>
            <w:shd w:val="clear" w:color="000000" w:fill="FFFFFF"/>
            <w:noWrap/>
            <w:vAlign w:val="center"/>
            <w:hideMark/>
          </w:tcPr>
          <w:p w:rsidR="008B7AC7" w:rsidRPr="00877C7B" w:rsidRDefault="008B7AC7"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r>
      <w:tr w:rsidR="00846A13" w:rsidRPr="00877C7B" w:rsidTr="00552D21">
        <w:trPr>
          <w:trHeight w:val="113"/>
        </w:trPr>
        <w:tc>
          <w:tcPr>
            <w:tcW w:w="2906" w:type="pct"/>
            <w:shd w:val="clear" w:color="000000" w:fill="FFFFFF"/>
            <w:noWrap/>
            <w:vAlign w:val="center"/>
            <w:hideMark/>
          </w:tcPr>
          <w:p w:rsidR="008B7AC7" w:rsidRPr="00877C7B" w:rsidRDefault="00846A13"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xml:space="preserve">Expenditure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26,2%</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25,1%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23,2%</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22,8%</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22,2%</w:t>
            </w:r>
          </w:p>
        </w:tc>
      </w:tr>
      <w:tr w:rsidR="00846A13" w:rsidRPr="00877C7B" w:rsidTr="00552D21">
        <w:trPr>
          <w:trHeight w:val="113"/>
        </w:trPr>
        <w:tc>
          <w:tcPr>
            <w:tcW w:w="2906" w:type="pct"/>
            <w:shd w:val="clear" w:color="000000" w:fill="FFFFFF"/>
            <w:vAlign w:val="center"/>
            <w:hideMark/>
          </w:tcPr>
          <w:p w:rsidR="008B7AC7" w:rsidRPr="00877C7B" w:rsidRDefault="008B7AC7" w:rsidP="000B6AE4">
            <w:pPr>
              <w:spacing w:after="0" w:line="240" w:lineRule="auto"/>
              <w:rPr>
                <w:rFonts w:eastAsia="Times New Roman" w:cstheme="minorHAnsi"/>
                <w:i/>
                <w:iCs/>
                <w:color w:val="000000"/>
                <w:sz w:val="20"/>
                <w:szCs w:val="20"/>
              </w:rPr>
            </w:pPr>
            <w:r w:rsidRPr="00877C7B">
              <w:rPr>
                <w:rFonts w:eastAsia="Times New Roman" w:cstheme="minorHAnsi"/>
                <w:i/>
                <w:iCs/>
                <w:color w:val="000000"/>
                <w:sz w:val="20"/>
                <w:szCs w:val="20"/>
              </w:rPr>
              <w:t xml:space="preserve">+/- </w:t>
            </w:r>
            <w:r w:rsidR="00846A13" w:rsidRPr="00877C7B">
              <w:rPr>
                <w:rFonts w:eastAsia="Times New Roman" w:cstheme="minorHAnsi"/>
                <w:i/>
                <w:iCs/>
                <w:color w:val="000000"/>
                <w:sz w:val="20"/>
                <w:szCs w:val="20"/>
              </w:rPr>
              <w:t>difference with previous year</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-1,9%</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-0,4%</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-0,6%</w:t>
            </w:r>
          </w:p>
        </w:tc>
      </w:tr>
      <w:tr w:rsidR="00846A13" w:rsidRPr="00877C7B" w:rsidTr="00552D21">
        <w:trPr>
          <w:trHeight w:val="113"/>
        </w:trPr>
        <w:tc>
          <w:tcPr>
            <w:tcW w:w="2906" w:type="pct"/>
            <w:shd w:val="clear" w:color="000000" w:fill="FFFFFF"/>
            <w:noWrap/>
            <w:vAlign w:val="center"/>
            <w:hideMark/>
          </w:tcPr>
          <w:p w:rsidR="008B7AC7" w:rsidRPr="00877C7B" w:rsidRDefault="008B7AC7"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r>
      <w:tr w:rsidR="00846A13" w:rsidRPr="00877C7B" w:rsidTr="00552D21">
        <w:trPr>
          <w:trHeight w:val="113"/>
        </w:trPr>
        <w:tc>
          <w:tcPr>
            <w:tcW w:w="2906" w:type="pct"/>
            <w:shd w:val="clear" w:color="000000" w:fill="FFFFFF"/>
            <w:vAlign w:val="center"/>
            <w:hideMark/>
          </w:tcPr>
          <w:p w:rsidR="008B7AC7" w:rsidRPr="00877C7B" w:rsidRDefault="00846A13"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Increase in non-financial Assets</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8,2%</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7,9%</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7,0%</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6,3%</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6,5%</w:t>
            </w:r>
          </w:p>
        </w:tc>
      </w:tr>
      <w:tr w:rsidR="00846A13" w:rsidRPr="00877C7B" w:rsidTr="00552D21">
        <w:trPr>
          <w:trHeight w:val="113"/>
        </w:trPr>
        <w:tc>
          <w:tcPr>
            <w:tcW w:w="2906" w:type="pct"/>
            <w:shd w:val="clear" w:color="000000" w:fill="FFFFFF"/>
            <w:vAlign w:val="center"/>
            <w:hideMark/>
          </w:tcPr>
          <w:p w:rsidR="008B7AC7" w:rsidRPr="00877C7B" w:rsidRDefault="008B7AC7" w:rsidP="000B6AE4">
            <w:pPr>
              <w:spacing w:after="0" w:line="240" w:lineRule="auto"/>
              <w:rPr>
                <w:rFonts w:eastAsia="Times New Roman" w:cstheme="minorHAnsi"/>
                <w:i/>
                <w:iCs/>
                <w:color w:val="000000"/>
                <w:sz w:val="20"/>
                <w:szCs w:val="20"/>
              </w:rPr>
            </w:pPr>
            <w:r w:rsidRPr="00877C7B">
              <w:rPr>
                <w:rFonts w:eastAsia="Times New Roman" w:cstheme="minorHAnsi"/>
                <w:i/>
                <w:iCs/>
                <w:color w:val="000000"/>
                <w:sz w:val="20"/>
                <w:szCs w:val="20"/>
              </w:rPr>
              <w:t xml:space="preserve">+/- </w:t>
            </w:r>
            <w:r w:rsidR="00846A13" w:rsidRPr="00877C7B">
              <w:rPr>
                <w:rFonts w:eastAsia="Times New Roman" w:cstheme="minorHAnsi"/>
                <w:i/>
                <w:iCs/>
                <w:color w:val="000000"/>
                <w:sz w:val="20"/>
                <w:szCs w:val="20"/>
              </w:rPr>
              <w:t>difference with previous year</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-0,3%</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-0,9%</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-0,8%</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0,3%</w:t>
            </w:r>
          </w:p>
        </w:tc>
      </w:tr>
      <w:tr w:rsidR="00846A13" w:rsidRPr="00877C7B" w:rsidTr="00552D21">
        <w:trPr>
          <w:trHeight w:val="113"/>
        </w:trPr>
        <w:tc>
          <w:tcPr>
            <w:tcW w:w="2906" w:type="pct"/>
            <w:shd w:val="clear" w:color="000000" w:fill="FFFFFF"/>
            <w:noWrap/>
            <w:vAlign w:val="center"/>
            <w:hideMark/>
          </w:tcPr>
          <w:p w:rsidR="008B7AC7" w:rsidRPr="00877C7B" w:rsidRDefault="008B7AC7"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r>
      <w:tr w:rsidR="00846A13" w:rsidRPr="00877C7B" w:rsidTr="00552D21">
        <w:trPr>
          <w:trHeight w:val="113"/>
        </w:trPr>
        <w:tc>
          <w:tcPr>
            <w:tcW w:w="2906" w:type="pct"/>
            <w:shd w:val="clear" w:color="000000" w:fill="FFFFFF"/>
            <w:vAlign w:val="center"/>
            <w:hideMark/>
          </w:tcPr>
          <w:p w:rsidR="008B7AC7" w:rsidRPr="00877C7B" w:rsidRDefault="00846A13" w:rsidP="00846A13">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xml:space="preserve">Negative total balance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-8,5%</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-7,5%</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-4,1%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-2,9%</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-2,4%</w:t>
            </w:r>
          </w:p>
        </w:tc>
      </w:tr>
      <w:tr w:rsidR="00846A13" w:rsidRPr="00877C7B" w:rsidTr="00552D21">
        <w:trPr>
          <w:trHeight w:val="113"/>
        </w:trPr>
        <w:tc>
          <w:tcPr>
            <w:tcW w:w="2906" w:type="pct"/>
            <w:shd w:val="clear" w:color="000000" w:fill="FFFFFF"/>
            <w:vAlign w:val="center"/>
            <w:hideMark/>
          </w:tcPr>
          <w:p w:rsidR="008B7AC7" w:rsidRPr="00877C7B" w:rsidRDefault="008B7AC7" w:rsidP="000B6AE4">
            <w:pPr>
              <w:spacing w:after="0" w:line="240" w:lineRule="auto"/>
              <w:rPr>
                <w:rFonts w:eastAsia="Times New Roman" w:cstheme="minorHAnsi"/>
                <w:i/>
                <w:iCs/>
                <w:color w:val="000000"/>
                <w:sz w:val="20"/>
                <w:szCs w:val="20"/>
              </w:rPr>
            </w:pPr>
            <w:r w:rsidRPr="00877C7B">
              <w:rPr>
                <w:rFonts w:eastAsia="Times New Roman" w:cstheme="minorHAnsi"/>
                <w:i/>
                <w:iCs/>
                <w:color w:val="000000"/>
                <w:sz w:val="20"/>
                <w:szCs w:val="20"/>
              </w:rPr>
              <w:t xml:space="preserve">+/- </w:t>
            </w:r>
            <w:r w:rsidR="00846A13" w:rsidRPr="00877C7B">
              <w:rPr>
                <w:rFonts w:eastAsia="Times New Roman" w:cstheme="minorHAnsi"/>
                <w:i/>
                <w:iCs/>
                <w:color w:val="000000"/>
                <w:sz w:val="20"/>
                <w:szCs w:val="20"/>
              </w:rPr>
              <w:t>difference with previous year</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1,0%</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3,3%</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1,3%</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0,5%</w:t>
            </w:r>
          </w:p>
        </w:tc>
      </w:tr>
      <w:tr w:rsidR="00846A13" w:rsidRPr="00877C7B" w:rsidTr="00552D21">
        <w:trPr>
          <w:trHeight w:val="113"/>
        </w:trPr>
        <w:tc>
          <w:tcPr>
            <w:tcW w:w="2906" w:type="pct"/>
            <w:shd w:val="clear" w:color="000000" w:fill="FFFFFF"/>
            <w:noWrap/>
            <w:vAlign w:val="center"/>
            <w:hideMark/>
          </w:tcPr>
          <w:p w:rsidR="008B7AC7" w:rsidRPr="00877C7B" w:rsidRDefault="008B7AC7" w:rsidP="000B6AE4">
            <w:pPr>
              <w:spacing w:after="0" w:line="240" w:lineRule="auto"/>
              <w:rPr>
                <w:rFonts w:eastAsia="Times New Roman" w:cstheme="minorHAnsi"/>
                <w:color w:val="000000"/>
                <w:sz w:val="20"/>
                <w:szCs w:val="20"/>
              </w:rPr>
            </w:pPr>
            <w:r w:rsidRPr="00877C7B">
              <w:rPr>
                <w:rFonts w:eastAsia="Times New Roman" w:cstheme="minorHAnsi"/>
                <w:color w:val="000000"/>
                <w:sz w:val="20"/>
                <w:szCs w:val="20"/>
              </w:rPr>
              <w:t> </w:t>
            </w:r>
          </w:p>
        </w:tc>
        <w:tc>
          <w:tcPr>
            <w:tcW w:w="61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 </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2,1%</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6,7%</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2,5%</w:t>
            </w:r>
          </w:p>
        </w:tc>
        <w:tc>
          <w:tcPr>
            <w:tcW w:w="371" w:type="pct"/>
            <w:shd w:val="clear" w:color="000000" w:fill="FFFFFF"/>
            <w:noWrap/>
            <w:vAlign w:val="center"/>
            <w:hideMark/>
          </w:tcPr>
          <w:p w:rsidR="008B7AC7" w:rsidRPr="00877C7B" w:rsidRDefault="008B7AC7" w:rsidP="000B6AE4">
            <w:pPr>
              <w:spacing w:after="0" w:line="240" w:lineRule="auto"/>
              <w:jc w:val="center"/>
              <w:rPr>
                <w:rFonts w:eastAsia="Times New Roman" w:cstheme="minorHAnsi"/>
                <w:color w:val="000000"/>
                <w:sz w:val="20"/>
                <w:szCs w:val="20"/>
              </w:rPr>
            </w:pPr>
            <w:r w:rsidRPr="00877C7B">
              <w:rPr>
                <w:rFonts w:eastAsia="Times New Roman" w:cstheme="minorHAnsi"/>
                <w:color w:val="000000"/>
                <w:sz w:val="20"/>
                <w:szCs w:val="20"/>
              </w:rPr>
              <w:t>0,9%</w:t>
            </w:r>
          </w:p>
        </w:tc>
      </w:tr>
    </w:tbl>
    <w:p w:rsidR="00591D1A" w:rsidRPr="00877C7B" w:rsidRDefault="007526FA" w:rsidP="00877C7B">
      <w:pPr>
        <w:spacing w:after="240" w:line="276" w:lineRule="auto"/>
        <w:jc w:val="both"/>
        <w:rPr>
          <w:rFonts w:cstheme="minorHAnsi"/>
        </w:rPr>
      </w:pPr>
      <w:r w:rsidRPr="00877C7B">
        <w:rPr>
          <w:rFonts w:cstheme="minorHAnsi"/>
        </w:rPr>
        <w:t xml:space="preserve"> </w:t>
      </w:r>
    </w:p>
    <w:p w:rsidR="001A2070" w:rsidRPr="00877C7B" w:rsidRDefault="00401126" w:rsidP="00877C7B">
      <w:pPr>
        <w:spacing w:after="240" w:line="276" w:lineRule="auto"/>
        <w:ind w:firstLine="720"/>
        <w:jc w:val="both"/>
        <w:rPr>
          <w:rFonts w:cstheme="minorHAnsi"/>
        </w:rPr>
      </w:pPr>
      <w:r w:rsidRPr="00877C7B">
        <w:rPr>
          <w:rFonts w:cstheme="minorHAnsi"/>
        </w:rPr>
        <w:t xml:space="preserve">Even though </w:t>
      </w:r>
      <w:r w:rsidR="00B34427" w:rsidRPr="00877C7B">
        <w:rPr>
          <w:rFonts w:cstheme="minorHAnsi"/>
        </w:rPr>
        <w:t>that economic</w:t>
      </w:r>
      <w:r w:rsidR="008E623D" w:rsidRPr="00877C7B">
        <w:rPr>
          <w:rFonts w:cstheme="minorHAnsi"/>
        </w:rPr>
        <w:t xml:space="preserve"> recovery will start from 2021 and economic growth will reach 4.3 percent in 2021, and 5.5 percent in the medium-term, non-deficit revenue as a percent of GDP will still decline by 0.3 p.p </w:t>
      </w:r>
      <w:r w:rsidR="00BD72D9" w:rsidRPr="00877C7B">
        <w:rPr>
          <w:rFonts w:cstheme="minorHAnsi"/>
        </w:rPr>
        <w:t xml:space="preserve">compared the previous year, </w:t>
      </w:r>
      <w:r w:rsidR="008E623D" w:rsidRPr="00877C7B">
        <w:rPr>
          <w:rFonts w:cstheme="minorHAnsi"/>
        </w:rPr>
        <w:t xml:space="preserve">considering the planned anti-crisis package. </w:t>
      </w:r>
      <w:r w:rsidR="003D61C1" w:rsidRPr="00877C7B">
        <w:rPr>
          <w:rFonts w:cstheme="minorHAnsi"/>
        </w:rPr>
        <w:t xml:space="preserve">Tax base and non-deficit revenue will recover </w:t>
      </w:r>
      <w:r w:rsidR="004077A9" w:rsidRPr="00877C7B">
        <w:rPr>
          <w:rFonts w:cstheme="minorHAnsi"/>
        </w:rPr>
        <w:t>as a percent of GDP gradually</w:t>
      </w:r>
      <w:r w:rsidR="003D61C1" w:rsidRPr="00877C7B">
        <w:rPr>
          <w:rFonts w:cstheme="minorHAnsi"/>
        </w:rPr>
        <w:t xml:space="preserve"> from 2022. Recovery of economic growth will cause </w:t>
      </w:r>
      <w:r w:rsidR="00B34427" w:rsidRPr="00877C7B">
        <w:rPr>
          <w:rFonts w:cstheme="minorHAnsi"/>
        </w:rPr>
        <w:t xml:space="preserve">an </w:t>
      </w:r>
      <w:r w:rsidR="003D61C1" w:rsidRPr="00877C7B">
        <w:rPr>
          <w:rFonts w:cstheme="minorHAnsi"/>
        </w:rPr>
        <w:t>increase of non-deficit revenue as a percent of GDP</w:t>
      </w:r>
      <w:r w:rsidR="00C77DA6" w:rsidRPr="00877C7B">
        <w:rPr>
          <w:rFonts w:cstheme="minorHAnsi"/>
        </w:rPr>
        <w:t>. D</w:t>
      </w:r>
      <w:r w:rsidR="003D61C1" w:rsidRPr="00877C7B">
        <w:rPr>
          <w:rFonts w:cstheme="minorHAnsi"/>
        </w:rPr>
        <w:t xml:space="preserve">espite the pension indexation, </w:t>
      </w:r>
      <w:r w:rsidR="00B34427" w:rsidRPr="00877C7B">
        <w:rPr>
          <w:rFonts w:cstheme="minorHAnsi"/>
        </w:rPr>
        <w:t xml:space="preserve">retaining </w:t>
      </w:r>
      <w:r w:rsidR="003D61C1" w:rsidRPr="00877C7B">
        <w:rPr>
          <w:rFonts w:cstheme="minorHAnsi"/>
        </w:rPr>
        <w:t>the current spending of</w:t>
      </w:r>
      <w:r w:rsidR="00B34427" w:rsidRPr="00877C7B">
        <w:rPr>
          <w:rFonts w:cstheme="minorHAnsi"/>
        </w:rPr>
        <w:t xml:space="preserve"> the</w:t>
      </w:r>
      <w:r w:rsidR="003D61C1" w:rsidRPr="00877C7B">
        <w:rPr>
          <w:rFonts w:cstheme="minorHAnsi"/>
        </w:rPr>
        <w:t xml:space="preserve"> consolidated budget at </w:t>
      </w:r>
      <w:r w:rsidR="00D00D62" w:rsidRPr="00877C7B">
        <w:rPr>
          <w:rFonts w:cstheme="minorHAnsi"/>
        </w:rPr>
        <w:t xml:space="preserve">around </w:t>
      </w:r>
      <w:r w:rsidR="003D61C1" w:rsidRPr="00877C7B">
        <w:rPr>
          <w:rFonts w:cstheme="minorHAnsi"/>
        </w:rPr>
        <w:t xml:space="preserve">25.1 percent of GDP from 2021, </w:t>
      </w:r>
      <w:r w:rsidR="00C77DA6" w:rsidRPr="00877C7B">
        <w:rPr>
          <w:rFonts w:cstheme="minorHAnsi"/>
        </w:rPr>
        <w:t xml:space="preserve">and in the medium-term </w:t>
      </w:r>
      <w:r w:rsidR="003D61C1" w:rsidRPr="00877C7B">
        <w:rPr>
          <w:rFonts w:cstheme="minorHAnsi"/>
        </w:rPr>
        <w:t xml:space="preserve">around 23 percent, </w:t>
      </w:r>
      <w:r w:rsidR="00C77DA6" w:rsidRPr="00877C7B">
        <w:rPr>
          <w:rFonts w:cstheme="minorHAnsi"/>
        </w:rPr>
        <w:t>while</w:t>
      </w:r>
      <w:r w:rsidR="003D61C1" w:rsidRPr="00877C7B">
        <w:rPr>
          <w:rFonts w:cstheme="minorHAnsi"/>
        </w:rPr>
        <w:t xml:space="preserve"> </w:t>
      </w:r>
      <w:r w:rsidR="00B34427" w:rsidRPr="00877C7B">
        <w:rPr>
          <w:rFonts w:cstheme="minorHAnsi"/>
        </w:rPr>
        <w:t xml:space="preserve">an </w:t>
      </w:r>
      <w:r w:rsidR="003D61C1" w:rsidRPr="00877C7B">
        <w:rPr>
          <w:rFonts w:cstheme="minorHAnsi"/>
        </w:rPr>
        <w:t>increase of non-financial assets remain</w:t>
      </w:r>
      <w:r w:rsidR="00D00D62" w:rsidRPr="00877C7B">
        <w:rPr>
          <w:rFonts w:cstheme="minorHAnsi"/>
        </w:rPr>
        <w:t>ing on</w:t>
      </w:r>
      <w:r w:rsidR="003D61C1" w:rsidRPr="00877C7B">
        <w:rPr>
          <w:rFonts w:cstheme="minorHAnsi"/>
        </w:rPr>
        <w:t xml:space="preserve"> </w:t>
      </w:r>
      <w:r w:rsidR="00D00D62" w:rsidRPr="00877C7B">
        <w:rPr>
          <w:rFonts w:cstheme="minorHAnsi"/>
        </w:rPr>
        <w:t>average</w:t>
      </w:r>
      <w:r w:rsidR="003D61C1" w:rsidRPr="00877C7B">
        <w:rPr>
          <w:rFonts w:cstheme="minorHAnsi"/>
        </w:rPr>
        <w:t xml:space="preserve"> 6.5 percent</w:t>
      </w:r>
      <w:r w:rsidR="00C77DA6" w:rsidRPr="00877C7B">
        <w:rPr>
          <w:rFonts w:cstheme="minorHAnsi"/>
        </w:rPr>
        <w:t xml:space="preserve">, helps </w:t>
      </w:r>
      <w:r w:rsidR="003D61C1" w:rsidRPr="00877C7B">
        <w:rPr>
          <w:rFonts w:cstheme="minorHAnsi"/>
        </w:rPr>
        <w:t xml:space="preserve">the deficit to decrease to 3 percent by 2023 and to return the deficit limit considered by the organic law of Georgia “the economic liberty act”. </w:t>
      </w:r>
      <w:r w:rsidR="00667FCF" w:rsidRPr="00877C7B">
        <w:rPr>
          <w:rFonts w:cstheme="minorHAnsi"/>
        </w:rPr>
        <w:t xml:space="preserve">However, maintaining capital spending at around 8 percent is also </w:t>
      </w:r>
      <w:r w:rsidR="00B34427" w:rsidRPr="00877C7B">
        <w:rPr>
          <w:rFonts w:cstheme="minorHAnsi"/>
        </w:rPr>
        <w:t xml:space="preserve">a </w:t>
      </w:r>
      <w:r w:rsidR="00667FCF" w:rsidRPr="00877C7B">
        <w:rPr>
          <w:rFonts w:cstheme="minorHAnsi"/>
        </w:rPr>
        <w:t xml:space="preserve">significant challenge together with </w:t>
      </w:r>
      <w:r w:rsidR="00B34427" w:rsidRPr="00877C7B">
        <w:rPr>
          <w:rFonts w:cstheme="minorHAnsi"/>
        </w:rPr>
        <w:t xml:space="preserve">the </w:t>
      </w:r>
      <w:r w:rsidR="00667FCF" w:rsidRPr="00877C7B">
        <w:rPr>
          <w:rFonts w:cstheme="minorHAnsi"/>
        </w:rPr>
        <w:t>declining of the deficit. Moreover</w:t>
      </w:r>
      <w:r w:rsidR="00A95AE5" w:rsidRPr="00877C7B">
        <w:rPr>
          <w:rFonts w:cstheme="minorHAnsi"/>
        </w:rPr>
        <w:t>, the current</w:t>
      </w:r>
      <w:r w:rsidR="00667FCF" w:rsidRPr="00877C7B">
        <w:rPr>
          <w:rFonts w:cstheme="minorHAnsi"/>
        </w:rPr>
        <w:t xml:space="preserve"> spending at ar</w:t>
      </w:r>
      <w:r w:rsidR="00DC6C79" w:rsidRPr="00877C7B">
        <w:rPr>
          <w:rFonts w:cstheme="minorHAnsi"/>
        </w:rPr>
        <w:t>ound 23 percent means quite contractionary</w:t>
      </w:r>
      <w:r w:rsidR="00340608" w:rsidRPr="00877C7B">
        <w:rPr>
          <w:rFonts w:cstheme="minorHAnsi"/>
        </w:rPr>
        <w:t xml:space="preserve"> fiscal policy in light of</w:t>
      </w:r>
      <w:r w:rsidR="00667FCF" w:rsidRPr="00877C7B">
        <w:rPr>
          <w:rFonts w:cstheme="minorHAnsi"/>
        </w:rPr>
        <w:t xml:space="preserve"> the pension indexation, education reform, and other major structural reforms. </w:t>
      </w:r>
      <w:r w:rsidR="00D536C5" w:rsidRPr="00877C7B">
        <w:rPr>
          <w:rFonts w:cstheme="minorHAnsi"/>
        </w:rPr>
        <w:t xml:space="preserve">It is noteworthy that </w:t>
      </w:r>
      <w:r w:rsidR="00642D0C" w:rsidRPr="00877C7B">
        <w:rPr>
          <w:rFonts w:cstheme="minorHAnsi"/>
        </w:rPr>
        <w:t xml:space="preserve">there will be an obligation to </w:t>
      </w:r>
      <w:r w:rsidR="000B6AE4" w:rsidRPr="00877C7B">
        <w:rPr>
          <w:rFonts w:cstheme="minorHAnsi"/>
        </w:rPr>
        <w:t>finance education using about 6 percent of GDP, from 2022. Such</w:t>
      </w:r>
      <w:r w:rsidR="00B34427" w:rsidRPr="00877C7B">
        <w:rPr>
          <w:rFonts w:cstheme="minorHAnsi"/>
        </w:rPr>
        <w:t xml:space="preserve"> obligations make</w:t>
      </w:r>
      <w:r w:rsidR="000B6AE4" w:rsidRPr="00877C7B">
        <w:rPr>
          <w:rFonts w:cstheme="minorHAnsi"/>
        </w:rPr>
        <w:t xml:space="preserve"> fiscal policy more difficult during the post-crisis tim</w:t>
      </w:r>
      <w:r w:rsidR="00A95AE5" w:rsidRPr="00877C7B">
        <w:rPr>
          <w:rFonts w:cstheme="minorHAnsi"/>
        </w:rPr>
        <w:t xml:space="preserve">e with </w:t>
      </w:r>
      <w:r w:rsidR="00B34427" w:rsidRPr="00877C7B">
        <w:rPr>
          <w:rFonts w:cstheme="minorHAnsi"/>
        </w:rPr>
        <w:t xml:space="preserve">a </w:t>
      </w:r>
      <w:r w:rsidR="00A95AE5" w:rsidRPr="00877C7B">
        <w:rPr>
          <w:rFonts w:cstheme="minorHAnsi"/>
        </w:rPr>
        <w:t xml:space="preserve">limited fiscal framework, which might cause the need </w:t>
      </w:r>
      <w:r w:rsidR="00B34427" w:rsidRPr="00877C7B">
        <w:rPr>
          <w:rFonts w:cstheme="minorHAnsi"/>
        </w:rPr>
        <w:t>for</w:t>
      </w:r>
      <w:r w:rsidR="00A95AE5" w:rsidRPr="00877C7B">
        <w:rPr>
          <w:rFonts w:cstheme="minorHAnsi"/>
        </w:rPr>
        <w:t xml:space="preserve"> revision of those norms. </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711"/>
        <w:gridCol w:w="1474"/>
        <w:gridCol w:w="1474"/>
        <w:gridCol w:w="1474"/>
        <w:gridCol w:w="1474"/>
      </w:tblGrid>
      <w:tr w:rsidR="00A95AE5" w:rsidRPr="00877C7B" w:rsidTr="00552D21">
        <w:trPr>
          <w:trHeight w:val="113"/>
          <w:tblHeader/>
        </w:trPr>
        <w:tc>
          <w:tcPr>
            <w:tcW w:w="1932" w:type="pct"/>
            <w:shd w:val="clear" w:color="auto" w:fill="auto"/>
            <w:noWrap/>
            <w:vAlign w:val="bottom"/>
            <w:hideMark/>
          </w:tcPr>
          <w:p w:rsidR="00A95AE5" w:rsidRPr="00877C7B" w:rsidRDefault="00A95AE5" w:rsidP="00641E58">
            <w:pPr>
              <w:spacing w:after="0" w:line="240" w:lineRule="auto"/>
              <w:jc w:val="center"/>
              <w:rPr>
                <w:rFonts w:eastAsia="Times New Roman" w:cstheme="minorHAnsi"/>
                <w:b/>
                <w:sz w:val="20"/>
                <w:szCs w:val="20"/>
                <w:lang w:val="ka-GE"/>
              </w:rPr>
            </w:pPr>
            <w:r w:rsidRPr="00877C7B">
              <w:rPr>
                <w:rFonts w:eastAsia="Times New Roman" w:cstheme="minorHAnsi"/>
                <w:b/>
                <w:bCs/>
                <w:sz w:val="20"/>
                <w:szCs w:val="14"/>
              </w:rPr>
              <w:t>Consolidated Budget</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b/>
                <w:bCs/>
                <w:sz w:val="20"/>
                <w:szCs w:val="20"/>
              </w:rPr>
            </w:pPr>
            <w:r w:rsidRPr="00877C7B">
              <w:rPr>
                <w:rFonts w:eastAsia="Times New Roman" w:cstheme="minorHAnsi"/>
                <w:b/>
                <w:bCs/>
                <w:sz w:val="20"/>
                <w:szCs w:val="20"/>
              </w:rPr>
              <w:t>2020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b/>
                <w:bCs/>
                <w:sz w:val="20"/>
                <w:szCs w:val="20"/>
              </w:rPr>
            </w:pPr>
            <w:r w:rsidRPr="00877C7B">
              <w:rPr>
                <w:rFonts w:eastAsia="Times New Roman" w:cstheme="minorHAnsi"/>
                <w:b/>
                <w:bCs/>
                <w:sz w:val="20"/>
                <w:szCs w:val="20"/>
              </w:rPr>
              <w:t>2021</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b/>
                <w:bCs/>
                <w:sz w:val="20"/>
                <w:szCs w:val="20"/>
              </w:rPr>
            </w:pPr>
            <w:r w:rsidRPr="00877C7B">
              <w:rPr>
                <w:rFonts w:eastAsia="Times New Roman" w:cstheme="minorHAnsi"/>
                <w:b/>
                <w:bCs/>
                <w:sz w:val="20"/>
                <w:szCs w:val="20"/>
              </w:rPr>
              <w:t>2023</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b/>
                <w:bCs/>
                <w:sz w:val="20"/>
                <w:szCs w:val="20"/>
              </w:rPr>
            </w:pPr>
            <w:r w:rsidRPr="00877C7B">
              <w:rPr>
                <w:rFonts w:eastAsia="Times New Roman" w:cstheme="minorHAnsi"/>
                <w:b/>
                <w:bCs/>
                <w:sz w:val="20"/>
                <w:szCs w:val="20"/>
              </w:rPr>
              <w:t>2023-2021</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Taxes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11 050,0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12 045,0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14 790,0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2 745,0</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Other non-deficit revenues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12 776,0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13 652,0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16 581,0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2 929,0</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Current spending</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12 921,0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13 407,0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14 434,0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1 027,0</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Capital spending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4 055,0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4 236,0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3 960,0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-276,0</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1"/>
              <w:rPr>
                <w:rFonts w:eastAsia="Times New Roman" w:cstheme="minorHAnsi"/>
                <w:b/>
                <w:bCs/>
                <w:sz w:val="20"/>
                <w:szCs w:val="20"/>
              </w:rPr>
            </w:pPr>
            <w:r w:rsidRPr="00877C7B">
              <w:rPr>
                <w:rFonts w:eastAsia="Times New Roman" w:cstheme="minorHAnsi"/>
                <w:b/>
                <w:bCs/>
                <w:sz w:val="20"/>
                <w:szCs w:val="20"/>
              </w:rPr>
              <w:t xml:space="preserve">Total balance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-4 200,0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-3 991,0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-1 813,0</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2 178,0</w:t>
            </w:r>
          </w:p>
        </w:tc>
      </w:tr>
      <w:tr w:rsidR="00A95AE5" w:rsidRPr="00877C7B" w:rsidTr="00552D21">
        <w:trPr>
          <w:trHeight w:val="113"/>
        </w:trPr>
        <w:tc>
          <w:tcPr>
            <w:tcW w:w="1932"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bottom"/>
            <w:hideMark/>
          </w:tcPr>
          <w:p w:rsidR="00A95AE5" w:rsidRPr="00877C7B" w:rsidRDefault="00A95AE5" w:rsidP="00641E58">
            <w:pPr>
              <w:spacing w:after="0" w:line="240" w:lineRule="auto"/>
              <w:rPr>
                <w:rFonts w:eastAsia="Times New Roman" w:cstheme="minorHAnsi"/>
                <w:sz w:val="20"/>
                <w:szCs w:val="20"/>
              </w:rPr>
            </w:pPr>
            <w:r w:rsidRPr="00877C7B">
              <w:rPr>
                <w:rFonts w:eastAsia="Times New Roman" w:cstheme="minorHAnsi"/>
                <w:sz w:val="20"/>
                <w:szCs w:val="20"/>
              </w:rPr>
              <w:t> </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Taxes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22,4%</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22,5%</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23,4%</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8"/>
                <w:szCs w:val="18"/>
              </w:rPr>
            </w:pPr>
            <w:r w:rsidRPr="00877C7B">
              <w:rPr>
                <w:rFonts w:eastAsia="Times New Roman" w:cstheme="minorHAnsi"/>
                <w:sz w:val="18"/>
                <w:szCs w:val="18"/>
              </w:rPr>
              <w:t>0,8%</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Other non-deficit revenues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25,9%</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25,5%</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26,2%</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8"/>
                <w:szCs w:val="18"/>
              </w:rPr>
            </w:pPr>
            <w:r w:rsidRPr="00877C7B">
              <w:rPr>
                <w:rFonts w:eastAsia="Times New Roman" w:cstheme="minorHAnsi"/>
                <w:sz w:val="18"/>
                <w:szCs w:val="18"/>
              </w:rPr>
              <w:t>0,7%</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Current spending</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26,2%</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25,1%</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22,8%</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8"/>
                <w:szCs w:val="18"/>
              </w:rPr>
            </w:pPr>
            <w:r w:rsidRPr="00877C7B">
              <w:rPr>
                <w:rFonts w:eastAsia="Times New Roman" w:cstheme="minorHAnsi"/>
                <w:sz w:val="18"/>
                <w:szCs w:val="18"/>
              </w:rPr>
              <w:t>-2,3%</w:t>
            </w:r>
          </w:p>
        </w:tc>
      </w:tr>
      <w:tr w:rsidR="00A95AE5" w:rsidRPr="00877C7B" w:rsidTr="00552D21">
        <w:trPr>
          <w:trHeight w:val="113"/>
        </w:trPr>
        <w:tc>
          <w:tcPr>
            <w:tcW w:w="1932" w:type="pct"/>
            <w:shd w:val="clear" w:color="auto" w:fill="auto"/>
            <w:vAlign w:val="bottom"/>
            <w:hideMark/>
          </w:tcPr>
          <w:p w:rsidR="00A95AE5" w:rsidRPr="00877C7B" w:rsidRDefault="00A95AE5" w:rsidP="00A95AE5">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xml:space="preserve">Capital spending </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8,2%</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7,9%</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6"/>
                <w:szCs w:val="16"/>
              </w:rPr>
            </w:pPr>
            <w:r w:rsidRPr="00877C7B">
              <w:rPr>
                <w:rFonts w:eastAsia="Times New Roman" w:cstheme="minorHAnsi"/>
                <w:sz w:val="16"/>
                <w:szCs w:val="16"/>
              </w:rPr>
              <w:t>6,3%</w:t>
            </w:r>
          </w:p>
        </w:tc>
        <w:tc>
          <w:tcPr>
            <w:tcW w:w="767" w:type="pct"/>
            <w:shd w:val="clear" w:color="auto" w:fill="auto"/>
            <w:noWrap/>
            <w:vAlign w:val="center"/>
            <w:hideMark/>
          </w:tcPr>
          <w:p w:rsidR="00A95AE5" w:rsidRPr="00877C7B" w:rsidRDefault="00A95AE5" w:rsidP="00A95AE5">
            <w:pPr>
              <w:spacing w:after="0" w:line="240" w:lineRule="auto"/>
              <w:jc w:val="center"/>
              <w:rPr>
                <w:rFonts w:eastAsia="Times New Roman" w:cstheme="minorHAnsi"/>
                <w:sz w:val="18"/>
                <w:szCs w:val="18"/>
              </w:rPr>
            </w:pPr>
            <w:r w:rsidRPr="00877C7B">
              <w:rPr>
                <w:rFonts w:eastAsia="Times New Roman" w:cstheme="minorHAnsi"/>
                <w:sz w:val="18"/>
                <w:szCs w:val="18"/>
              </w:rPr>
              <w:t>-1,7%</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0"/>
              <w:rPr>
                <w:rFonts w:eastAsia="Times New Roman" w:cstheme="minorHAnsi"/>
                <w:sz w:val="20"/>
                <w:szCs w:val="20"/>
              </w:rPr>
            </w:pPr>
            <w:r w:rsidRPr="00877C7B">
              <w:rPr>
                <w:rFonts w:eastAsia="Times New Roman" w:cstheme="minorHAnsi"/>
                <w:sz w:val="20"/>
                <w:szCs w:val="20"/>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 </w:t>
            </w:r>
          </w:p>
        </w:tc>
      </w:tr>
      <w:tr w:rsidR="00A95AE5" w:rsidRPr="00877C7B" w:rsidTr="00552D21">
        <w:trPr>
          <w:trHeight w:val="113"/>
        </w:trPr>
        <w:tc>
          <w:tcPr>
            <w:tcW w:w="1932" w:type="pct"/>
            <w:shd w:val="clear" w:color="auto" w:fill="auto"/>
            <w:vAlign w:val="bottom"/>
            <w:hideMark/>
          </w:tcPr>
          <w:p w:rsidR="00A95AE5" w:rsidRPr="00877C7B" w:rsidRDefault="00A95AE5" w:rsidP="00641E58">
            <w:pPr>
              <w:spacing w:after="0" w:line="240" w:lineRule="auto"/>
              <w:ind w:firstLineChars="100" w:firstLine="201"/>
              <w:rPr>
                <w:rFonts w:eastAsia="Times New Roman" w:cstheme="minorHAnsi"/>
                <w:b/>
                <w:bCs/>
                <w:sz w:val="20"/>
                <w:szCs w:val="20"/>
              </w:rPr>
            </w:pPr>
            <w:r w:rsidRPr="00877C7B">
              <w:rPr>
                <w:rFonts w:eastAsia="Times New Roman" w:cstheme="minorHAnsi"/>
                <w:b/>
                <w:bCs/>
                <w:sz w:val="20"/>
                <w:szCs w:val="20"/>
              </w:rPr>
              <w:t>Total balance</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-8,5%</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-7,5%</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6"/>
                <w:szCs w:val="16"/>
              </w:rPr>
            </w:pPr>
            <w:r w:rsidRPr="00877C7B">
              <w:rPr>
                <w:rFonts w:eastAsia="Times New Roman" w:cstheme="minorHAnsi"/>
                <w:sz w:val="16"/>
                <w:szCs w:val="16"/>
              </w:rPr>
              <w:t>-2,9%</w:t>
            </w:r>
          </w:p>
        </w:tc>
        <w:tc>
          <w:tcPr>
            <w:tcW w:w="767" w:type="pct"/>
            <w:shd w:val="clear" w:color="auto" w:fill="auto"/>
            <w:noWrap/>
            <w:vAlign w:val="center"/>
            <w:hideMark/>
          </w:tcPr>
          <w:p w:rsidR="00A95AE5" w:rsidRPr="00877C7B" w:rsidRDefault="00A95AE5" w:rsidP="00641E58">
            <w:pPr>
              <w:spacing w:after="0" w:line="240" w:lineRule="auto"/>
              <w:jc w:val="center"/>
              <w:rPr>
                <w:rFonts w:eastAsia="Times New Roman" w:cstheme="minorHAnsi"/>
                <w:sz w:val="18"/>
                <w:szCs w:val="18"/>
              </w:rPr>
            </w:pPr>
            <w:r w:rsidRPr="00877C7B">
              <w:rPr>
                <w:rFonts w:eastAsia="Times New Roman" w:cstheme="minorHAnsi"/>
                <w:sz w:val="18"/>
                <w:szCs w:val="18"/>
              </w:rPr>
              <w:t>4,6%</w:t>
            </w:r>
          </w:p>
        </w:tc>
      </w:tr>
    </w:tbl>
    <w:p w:rsidR="00A95AE5" w:rsidRPr="00877C7B" w:rsidRDefault="00A95AE5" w:rsidP="00A95AE5">
      <w:pPr>
        <w:spacing w:after="240" w:line="240" w:lineRule="auto"/>
        <w:jc w:val="both"/>
        <w:rPr>
          <w:rFonts w:cstheme="minorHAnsi"/>
          <w:b/>
          <w:lang w:val="ka-GE"/>
        </w:rPr>
      </w:pPr>
    </w:p>
    <w:p w:rsidR="000B162B" w:rsidRPr="00877C7B" w:rsidRDefault="00544AC3" w:rsidP="00544AC3">
      <w:pPr>
        <w:spacing w:after="240" w:line="240" w:lineRule="auto"/>
        <w:jc w:val="both"/>
        <w:rPr>
          <w:rFonts w:cstheme="minorHAnsi"/>
        </w:rPr>
      </w:pPr>
      <w:r w:rsidRPr="00877C7B">
        <w:rPr>
          <w:rFonts w:cstheme="minorHAnsi"/>
        </w:rPr>
        <w:t xml:space="preserve">Table 13 shows the forecast of the </w:t>
      </w:r>
      <w:r w:rsidR="00DC6C79" w:rsidRPr="00877C7B">
        <w:rPr>
          <w:rFonts w:cstheme="minorHAnsi"/>
        </w:rPr>
        <w:t xml:space="preserve">total balance of </w:t>
      </w:r>
      <w:r w:rsidRPr="00877C7B">
        <w:rPr>
          <w:rFonts w:cstheme="minorHAnsi"/>
        </w:rPr>
        <w:t xml:space="preserve">consolidated and general government budget and the deficit defined by the IMF program, and their comparison to the previous period forecasts. </w:t>
      </w:r>
    </w:p>
    <w:tbl>
      <w:tblPr>
        <w:tblW w:w="5794" w:type="pct"/>
        <w:tblInd w:w="-71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3546"/>
        <w:gridCol w:w="757"/>
        <w:gridCol w:w="757"/>
        <w:gridCol w:w="757"/>
        <w:gridCol w:w="757"/>
        <w:gridCol w:w="759"/>
        <w:gridCol w:w="757"/>
        <w:gridCol w:w="757"/>
        <w:gridCol w:w="757"/>
        <w:gridCol w:w="757"/>
        <w:gridCol w:w="761"/>
        <w:gridCol w:w="11"/>
      </w:tblGrid>
      <w:tr w:rsidR="007A5447" w:rsidRPr="00877C7B" w:rsidTr="00552D21">
        <w:trPr>
          <w:gridAfter w:val="1"/>
          <w:wAfter w:w="6" w:type="pct"/>
          <w:trHeight w:val="113"/>
          <w:tblHeader/>
        </w:trPr>
        <w:tc>
          <w:tcPr>
            <w:tcW w:w="1592" w:type="pct"/>
            <w:shd w:val="clear" w:color="auto" w:fill="auto"/>
            <w:noWrap/>
            <w:vAlign w:val="center"/>
            <w:hideMark/>
          </w:tcPr>
          <w:p w:rsidR="007A5447" w:rsidRPr="00877C7B" w:rsidRDefault="00DC6C79" w:rsidP="007A5447">
            <w:pPr>
              <w:spacing w:after="0" w:line="240" w:lineRule="auto"/>
              <w:rPr>
                <w:rFonts w:eastAsia="Times New Roman" w:cstheme="minorHAnsi"/>
                <w:b/>
                <w:sz w:val="20"/>
                <w:szCs w:val="16"/>
              </w:rPr>
            </w:pPr>
            <w:r w:rsidRPr="00877C7B">
              <w:rPr>
                <w:rFonts w:eastAsia="Times New Roman" w:cstheme="minorHAnsi"/>
                <w:b/>
                <w:sz w:val="20"/>
                <w:szCs w:val="16"/>
              </w:rPr>
              <w:t> Table 13. Comparison of Budget Deficit F</w:t>
            </w:r>
            <w:r w:rsidR="007A5447" w:rsidRPr="00877C7B">
              <w:rPr>
                <w:rFonts w:eastAsia="Times New Roman" w:cstheme="minorHAnsi"/>
                <w:b/>
                <w:sz w:val="20"/>
                <w:szCs w:val="16"/>
              </w:rPr>
              <w:t xml:space="preserve">orecasts </w:t>
            </w:r>
          </w:p>
        </w:tc>
        <w:tc>
          <w:tcPr>
            <w:tcW w:w="1700" w:type="pct"/>
            <w:gridSpan w:val="5"/>
            <w:shd w:val="clear" w:color="auto" w:fill="auto"/>
            <w:noWrap/>
            <w:vAlign w:val="bottom"/>
            <w:hideMark/>
          </w:tcPr>
          <w:p w:rsidR="007A5447" w:rsidRPr="00877C7B" w:rsidRDefault="007A5447" w:rsidP="007A5447">
            <w:pPr>
              <w:spacing w:after="0" w:line="240" w:lineRule="auto"/>
              <w:jc w:val="center"/>
              <w:rPr>
                <w:rFonts w:eastAsia="Times New Roman" w:cstheme="minorHAnsi"/>
                <w:b/>
                <w:bCs/>
                <w:sz w:val="20"/>
                <w:szCs w:val="16"/>
              </w:rPr>
            </w:pPr>
            <w:r w:rsidRPr="00877C7B">
              <w:rPr>
                <w:rFonts w:eastAsia="Times New Roman" w:cstheme="minorHAnsi"/>
                <w:b/>
                <w:bCs/>
                <w:sz w:val="20"/>
                <w:szCs w:val="14"/>
              </w:rPr>
              <w:t>Consolidated Budget</w:t>
            </w:r>
          </w:p>
        </w:tc>
        <w:tc>
          <w:tcPr>
            <w:tcW w:w="1702" w:type="pct"/>
            <w:gridSpan w:val="5"/>
            <w:shd w:val="clear" w:color="auto" w:fill="auto"/>
            <w:noWrap/>
            <w:vAlign w:val="bottom"/>
            <w:hideMark/>
          </w:tcPr>
          <w:p w:rsidR="007A5447" w:rsidRPr="00877C7B" w:rsidRDefault="007A5447" w:rsidP="007A5447">
            <w:pPr>
              <w:spacing w:after="0" w:line="240" w:lineRule="auto"/>
              <w:jc w:val="center"/>
              <w:rPr>
                <w:rFonts w:eastAsia="Times New Roman" w:cstheme="minorHAnsi"/>
                <w:b/>
                <w:bCs/>
                <w:sz w:val="20"/>
                <w:szCs w:val="16"/>
              </w:rPr>
            </w:pPr>
            <w:r w:rsidRPr="00877C7B">
              <w:rPr>
                <w:rFonts w:eastAsia="Times New Roman" w:cstheme="minorHAnsi"/>
                <w:b/>
                <w:bCs/>
                <w:sz w:val="20"/>
                <w:szCs w:val="14"/>
              </w:rPr>
              <w:t>General Government Budget</w:t>
            </w:r>
          </w:p>
        </w:tc>
      </w:tr>
      <w:tr w:rsidR="007A5447" w:rsidRPr="00877C7B" w:rsidTr="00552D21">
        <w:trPr>
          <w:gridAfter w:val="1"/>
          <w:wAfter w:w="6" w:type="pct"/>
          <w:trHeight w:val="113"/>
          <w:tblHeader/>
        </w:trPr>
        <w:tc>
          <w:tcPr>
            <w:tcW w:w="1592" w:type="pct"/>
            <w:shd w:val="clear" w:color="auto" w:fill="auto"/>
            <w:noWrap/>
            <w:vAlign w:val="center"/>
            <w:hideMark/>
          </w:tcPr>
          <w:p w:rsidR="007A5447" w:rsidRPr="00877C7B" w:rsidRDefault="007A5447" w:rsidP="00641E58">
            <w:pPr>
              <w:spacing w:after="0" w:line="240" w:lineRule="auto"/>
              <w:rPr>
                <w:rFonts w:eastAsia="Times New Roman" w:cstheme="minorHAnsi"/>
                <w:sz w:val="20"/>
                <w:szCs w:val="16"/>
              </w:rPr>
            </w:pPr>
            <w:r w:rsidRPr="00877C7B">
              <w:rPr>
                <w:rFonts w:eastAsia="Times New Roman" w:cstheme="minorHAnsi"/>
                <w:sz w:val="20"/>
                <w:szCs w:val="16"/>
              </w:rPr>
              <w:t> </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2022</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2023</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2024</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2022</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2023</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b/>
                <w:bCs/>
                <w:sz w:val="16"/>
                <w:szCs w:val="18"/>
              </w:rPr>
            </w:pPr>
            <w:r w:rsidRPr="00877C7B">
              <w:rPr>
                <w:rFonts w:eastAsia="Times New Roman" w:cstheme="minorHAnsi"/>
                <w:b/>
                <w:bCs/>
                <w:sz w:val="16"/>
                <w:szCs w:val="18"/>
              </w:rPr>
              <w:t>2024</w:t>
            </w:r>
          </w:p>
        </w:tc>
      </w:tr>
      <w:tr w:rsidR="007A5447" w:rsidRPr="00877C7B" w:rsidTr="00552D21">
        <w:trPr>
          <w:trHeight w:val="113"/>
        </w:trPr>
        <w:tc>
          <w:tcPr>
            <w:tcW w:w="5000" w:type="pct"/>
            <w:gridSpan w:val="12"/>
            <w:shd w:val="clear" w:color="auto" w:fill="auto"/>
            <w:noWrap/>
            <w:vAlign w:val="center"/>
            <w:hideMark/>
          </w:tcPr>
          <w:p w:rsidR="007A5447" w:rsidRPr="00877C7B" w:rsidRDefault="007A5447" w:rsidP="00641E58">
            <w:pPr>
              <w:spacing w:after="0" w:line="240" w:lineRule="auto"/>
              <w:jc w:val="center"/>
              <w:rPr>
                <w:rFonts w:eastAsia="Times New Roman" w:cstheme="minorHAnsi"/>
                <w:sz w:val="20"/>
                <w:szCs w:val="16"/>
              </w:rPr>
            </w:pPr>
            <w:r w:rsidRPr="00877C7B">
              <w:rPr>
                <w:rFonts w:eastAsia="Times New Roman" w:cstheme="minorHAnsi"/>
                <w:sz w:val="20"/>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7A5447" w:rsidP="00641E58">
            <w:pPr>
              <w:spacing w:after="0" w:line="240" w:lineRule="auto"/>
              <w:rPr>
                <w:rFonts w:eastAsia="Times New Roman" w:cstheme="minorHAnsi"/>
                <w:b/>
                <w:bCs/>
                <w:sz w:val="20"/>
                <w:szCs w:val="16"/>
              </w:rPr>
            </w:pPr>
            <w:r w:rsidRPr="00877C7B">
              <w:rPr>
                <w:rFonts w:eastAsia="Times New Roman" w:cstheme="minorHAnsi"/>
                <w:b/>
                <w:bCs/>
                <w:sz w:val="20"/>
                <w:szCs w:val="14"/>
              </w:rPr>
              <w:t>Total balance</w:t>
            </w:r>
          </w:p>
        </w:tc>
        <w:tc>
          <w:tcPr>
            <w:tcW w:w="3402" w:type="pct"/>
            <w:gridSpan w:val="10"/>
            <w:shd w:val="clear" w:color="auto" w:fill="auto"/>
            <w:noWrap/>
            <w:vAlign w:val="center"/>
            <w:hideMark/>
          </w:tcPr>
          <w:p w:rsidR="007A5447" w:rsidRPr="00877C7B" w:rsidRDefault="007A5447" w:rsidP="00641E58">
            <w:pPr>
              <w:spacing w:after="0" w:line="240" w:lineRule="auto"/>
              <w:rPr>
                <w:rFonts w:eastAsia="Times New Roman" w:cstheme="minorHAnsi"/>
                <w:sz w:val="16"/>
                <w:szCs w:val="16"/>
              </w:rPr>
            </w:pPr>
            <w:r w:rsidRPr="00877C7B">
              <w:rPr>
                <w:rFonts w:eastAsia="Times New Roman" w:cstheme="minorHAnsi"/>
                <w:sz w:val="16"/>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7A5447" w:rsidP="00DC6C79">
            <w:pPr>
              <w:spacing w:after="0" w:line="240" w:lineRule="auto"/>
              <w:rPr>
                <w:rFonts w:eastAsia="Times New Roman" w:cstheme="minorHAnsi"/>
                <w:sz w:val="20"/>
                <w:szCs w:val="18"/>
              </w:rPr>
            </w:pPr>
            <w:r w:rsidRPr="00877C7B">
              <w:rPr>
                <w:rFonts w:eastAsia="Times New Roman" w:cstheme="minorHAnsi"/>
                <w:sz w:val="20"/>
                <w:szCs w:val="18"/>
              </w:rPr>
              <w:t xml:space="preserve">2020-2023 </w:t>
            </w:r>
            <w:r w:rsidR="00B34427" w:rsidRPr="00877C7B">
              <w:rPr>
                <w:rFonts w:eastAsia="Times New Roman" w:cstheme="minorHAnsi"/>
                <w:sz w:val="20"/>
                <w:szCs w:val="18"/>
              </w:rPr>
              <w:t>forecast</w:t>
            </w:r>
            <w:r w:rsidRPr="00877C7B">
              <w:rPr>
                <w:rFonts w:eastAsia="Times New Roman" w:cstheme="minorHAnsi"/>
                <w:sz w:val="20"/>
                <w:szCs w:val="18"/>
              </w:rPr>
              <w:t xml:space="preserve"> (</w:t>
            </w:r>
            <w:r w:rsidR="00B34427" w:rsidRPr="00877C7B">
              <w:rPr>
                <w:rFonts w:eastAsia="Times New Roman" w:cstheme="minorHAnsi"/>
                <w:sz w:val="20"/>
                <w:szCs w:val="18"/>
              </w:rPr>
              <w:t xml:space="preserve">December </w:t>
            </w:r>
            <w:r w:rsidRPr="00877C7B">
              <w:rPr>
                <w:rFonts w:eastAsia="Times New Roman" w:cstheme="minorHAnsi"/>
                <w:sz w:val="20"/>
                <w:szCs w:val="18"/>
              </w:rPr>
              <w:t>2019)</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-1 257,0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-1 243,0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-1 398,0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-1 491,0</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 </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-1 333,0</w:t>
            </w:r>
          </w:p>
        </w:tc>
        <w:tc>
          <w:tcPr>
            <w:tcW w:w="340" w:type="pct"/>
            <w:shd w:val="clear" w:color="auto" w:fill="auto"/>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-1 324,0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-1 481,0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-1 577,0</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7A5447" w:rsidP="00DC6C79">
            <w:pPr>
              <w:spacing w:after="0" w:line="240" w:lineRule="auto"/>
              <w:rPr>
                <w:rFonts w:eastAsia="Times New Roman" w:cstheme="minorHAnsi"/>
                <w:sz w:val="20"/>
                <w:szCs w:val="18"/>
              </w:rPr>
            </w:pPr>
            <w:r w:rsidRPr="00877C7B">
              <w:rPr>
                <w:rFonts w:eastAsia="Times New Roman" w:cstheme="minorHAnsi"/>
                <w:sz w:val="20"/>
                <w:szCs w:val="18"/>
              </w:rPr>
              <w:t xml:space="preserve">2021-2024 </w:t>
            </w:r>
            <w:r w:rsidR="00B34427" w:rsidRPr="00877C7B">
              <w:rPr>
                <w:rFonts w:eastAsia="Times New Roman" w:cstheme="minorHAnsi"/>
                <w:sz w:val="20"/>
                <w:szCs w:val="18"/>
              </w:rPr>
              <w:t xml:space="preserve">forecast </w:t>
            </w:r>
            <w:r w:rsidRPr="00877C7B">
              <w:rPr>
                <w:rFonts w:eastAsia="Times New Roman" w:cstheme="minorHAnsi"/>
                <w:sz w:val="20"/>
                <w:szCs w:val="18"/>
              </w:rPr>
              <w:t>(</w:t>
            </w:r>
            <w:r w:rsidR="00B34427" w:rsidRPr="00877C7B">
              <w:rPr>
                <w:rFonts w:eastAsia="Times New Roman" w:cstheme="minorHAnsi"/>
                <w:sz w:val="20"/>
                <w:szCs w:val="18"/>
              </w:rPr>
              <w:t xml:space="preserve">July </w:t>
            </w:r>
            <w:r w:rsidRPr="00877C7B">
              <w:rPr>
                <w:rFonts w:eastAsia="Times New Roman" w:cstheme="minorHAnsi"/>
                <w:sz w:val="20"/>
                <w:szCs w:val="18"/>
              </w:rPr>
              <w:t>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-4 164,0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-2 593,0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-2 397,0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-1 947,0</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-1 687,0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-4 153,0</w:t>
            </w:r>
          </w:p>
        </w:tc>
        <w:tc>
          <w:tcPr>
            <w:tcW w:w="340" w:type="pct"/>
            <w:shd w:val="clear" w:color="auto" w:fill="auto"/>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-2 602,0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-2 388,0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-1 919,0</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-1 657,0</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7A5447" w:rsidP="00DC6C79">
            <w:pPr>
              <w:spacing w:after="0" w:line="240" w:lineRule="auto"/>
              <w:rPr>
                <w:rFonts w:eastAsia="Times New Roman" w:cstheme="minorHAnsi"/>
                <w:sz w:val="20"/>
                <w:szCs w:val="18"/>
              </w:rPr>
            </w:pPr>
            <w:r w:rsidRPr="00877C7B">
              <w:rPr>
                <w:rFonts w:eastAsia="Times New Roman" w:cstheme="minorHAnsi"/>
                <w:sz w:val="20"/>
                <w:szCs w:val="18"/>
              </w:rPr>
              <w:t xml:space="preserve">2021-2024 </w:t>
            </w:r>
            <w:r w:rsidR="00B34427" w:rsidRPr="00877C7B">
              <w:rPr>
                <w:rFonts w:eastAsia="Times New Roman" w:cstheme="minorHAnsi"/>
                <w:sz w:val="20"/>
                <w:szCs w:val="18"/>
              </w:rPr>
              <w:t xml:space="preserve">forecast </w:t>
            </w:r>
            <w:r w:rsidRPr="00877C7B">
              <w:rPr>
                <w:rFonts w:eastAsia="Times New Roman" w:cstheme="minorHAnsi"/>
                <w:sz w:val="20"/>
                <w:szCs w:val="18"/>
              </w:rPr>
              <w:t>(</w:t>
            </w:r>
            <w:r w:rsidR="00B34427" w:rsidRPr="00877C7B">
              <w:rPr>
                <w:rFonts w:eastAsia="Times New Roman" w:cstheme="minorHAnsi"/>
                <w:sz w:val="20"/>
                <w:szCs w:val="18"/>
              </w:rPr>
              <w:t xml:space="preserve">October </w:t>
            </w:r>
            <w:r w:rsidRPr="00877C7B">
              <w:rPr>
                <w:rFonts w:eastAsia="Times New Roman" w:cstheme="minorHAnsi"/>
                <w:sz w:val="20"/>
                <w:szCs w:val="18"/>
              </w:rPr>
              <w:t>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-4 200,0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-3 991,0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-2 399,0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-1 813,0</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-1 646,0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-4 188,7</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-4 131,9</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-2 342,6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-1 819,0</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-1 649,0</w:t>
            </w:r>
          </w:p>
        </w:tc>
      </w:tr>
      <w:tr w:rsidR="007A5447" w:rsidRPr="00877C7B" w:rsidTr="00552D21">
        <w:trPr>
          <w:trHeight w:val="113"/>
        </w:trPr>
        <w:tc>
          <w:tcPr>
            <w:tcW w:w="5000" w:type="pct"/>
            <w:gridSpan w:val="12"/>
            <w:shd w:val="clear" w:color="auto" w:fill="auto"/>
            <w:noWrap/>
            <w:vAlign w:val="center"/>
            <w:hideMark/>
          </w:tcPr>
          <w:p w:rsidR="007A5447" w:rsidRPr="00877C7B" w:rsidRDefault="007A5447" w:rsidP="00641E58">
            <w:pPr>
              <w:spacing w:after="0" w:line="240" w:lineRule="auto"/>
              <w:jc w:val="center"/>
              <w:rPr>
                <w:rFonts w:eastAsia="Times New Roman" w:cstheme="minorHAnsi"/>
                <w:sz w:val="20"/>
                <w:szCs w:val="16"/>
              </w:rPr>
            </w:pPr>
            <w:r w:rsidRPr="00877C7B">
              <w:rPr>
                <w:rFonts w:eastAsia="Times New Roman" w:cstheme="minorHAnsi"/>
                <w:sz w:val="20"/>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B34427" w:rsidP="00641E58">
            <w:pPr>
              <w:spacing w:after="0" w:line="240" w:lineRule="auto"/>
              <w:rPr>
                <w:rFonts w:eastAsia="Times New Roman" w:cstheme="minorHAnsi"/>
                <w:b/>
                <w:bCs/>
                <w:sz w:val="20"/>
                <w:szCs w:val="16"/>
              </w:rPr>
            </w:pPr>
            <w:r w:rsidRPr="00877C7B">
              <w:rPr>
                <w:rFonts w:eastAsia="Times New Roman" w:cstheme="minorHAnsi"/>
                <w:b/>
                <w:bCs/>
                <w:sz w:val="20"/>
                <w:szCs w:val="14"/>
              </w:rPr>
              <w:t xml:space="preserve">Modified deficit (IMF program) </w:t>
            </w:r>
          </w:p>
        </w:tc>
        <w:tc>
          <w:tcPr>
            <w:tcW w:w="3402" w:type="pct"/>
            <w:gridSpan w:val="10"/>
            <w:shd w:val="clear" w:color="auto" w:fill="auto"/>
            <w:noWrap/>
            <w:vAlign w:val="center"/>
            <w:hideMark/>
          </w:tcPr>
          <w:p w:rsidR="007A5447" w:rsidRPr="00877C7B" w:rsidRDefault="007A5447" w:rsidP="00641E58">
            <w:pPr>
              <w:spacing w:after="0" w:line="240" w:lineRule="auto"/>
              <w:rPr>
                <w:rFonts w:eastAsia="Times New Roman" w:cstheme="minorHAnsi"/>
                <w:sz w:val="16"/>
              </w:rPr>
            </w:pPr>
            <w:r w:rsidRPr="00877C7B">
              <w:rPr>
                <w:rFonts w:eastAsia="Times New Roman" w:cstheme="minorHAnsi"/>
                <w:sz w:val="16"/>
              </w:rPr>
              <w:t> </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2020-2023 forecast (December 2019)</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-1 319,0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-1 498,0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-1 668,0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-1 741,0</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-1 396,0</w:t>
            </w:r>
          </w:p>
        </w:tc>
        <w:tc>
          <w:tcPr>
            <w:tcW w:w="340" w:type="pct"/>
            <w:shd w:val="clear" w:color="auto" w:fill="auto"/>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-1 579,0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-1 751,0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-1 827,0</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 </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(July 2020)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-4 254,0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-2 778,0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-2 532,0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-2 082,0</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-1 822,0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-4 253,0</w:t>
            </w:r>
          </w:p>
        </w:tc>
        <w:tc>
          <w:tcPr>
            <w:tcW w:w="340" w:type="pct"/>
            <w:shd w:val="clear" w:color="auto" w:fill="auto"/>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-2 797,0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-2 533,0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-2 064,0</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-1 802,0</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(October 2020)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-4 470,0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-4 082,0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-2 534,0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-1 948,0</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-1 781,0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-4 498,9</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-4 228,8</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-2 487,6</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-1 964,0</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-1 794,0</w:t>
            </w:r>
          </w:p>
        </w:tc>
      </w:tr>
      <w:tr w:rsidR="007A5447" w:rsidRPr="00877C7B" w:rsidTr="00552D21">
        <w:trPr>
          <w:trHeight w:val="113"/>
        </w:trPr>
        <w:tc>
          <w:tcPr>
            <w:tcW w:w="5000" w:type="pct"/>
            <w:gridSpan w:val="12"/>
            <w:shd w:val="clear" w:color="auto" w:fill="auto"/>
            <w:noWrap/>
            <w:vAlign w:val="center"/>
            <w:hideMark/>
          </w:tcPr>
          <w:p w:rsidR="007A5447" w:rsidRPr="00877C7B" w:rsidRDefault="007A5447" w:rsidP="00641E58">
            <w:pPr>
              <w:spacing w:after="0" w:line="240" w:lineRule="auto"/>
              <w:jc w:val="center"/>
              <w:rPr>
                <w:rFonts w:eastAsia="Times New Roman" w:cstheme="minorHAnsi"/>
                <w:sz w:val="20"/>
                <w:szCs w:val="16"/>
              </w:rPr>
            </w:pPr>
            <w:r w:rsidRPr="00877C7B">
              <w:rPr>
                <w:rFonts w:eastAsia="Times New Roman" w:cstheme="minorHAnsi"/>
                <w:sz w:val="20"/>
                <w:szCs w:val="16"/>
              </w:rPr>
              <w:t> </w:t>
            </w:r>
          </w:p>
        </w:tc>
      </w:tr>
      <w:tr w:rsidR="007A5447" w:rsidRPr="00877C7B" w:rsidTr="00552D21">
        <w:trPr>
          <w:trHeight w:val="113"/>
        </w:trPr>
        <w:tc>
          <w:tcPr>
            <w:tcW w:w="5000" w:type="pct"/>
            <w:gridSpan w:val="12"/>
            <w:shd w:val="clear" w:color="auto" w:fill="auto"/>
            <w:noWrap/>
            <w:vAlign w:val="center"/>
            <w:hideMark/>
          </w:tcPr>
          <w:p w:rsidR="007A5447" w:rsidRPr="00877C7B" w:rsidRDefault="007A5447" w:rsidP="007A5447">
            <w:pPr>
              <w:spacing w:after="0" w:line="240" w:lineRule="auto"/>
              <w:jc w:val="center"/>
              <w:rPr>
                <w:rFonts w:eastAsia="Times New Roman" w:cstheme="minorHAnsi"/>
                <w:b/>
                <w:bCs/>
                <w:sz w:val="20"/>
                <w:szCs w:val="16"/>
              </w:rPr>
            </w:pPr>
            <w:r w:rsidRPr="00877C7B">
              <w:rPr>
                <w:rFonts w:eastAsia="Times New Roman" w:cstheme="minorHAnsi"/>
                <w:b/>
                <w:bCs/>
                <w:sz w:val="20"/>
                <w:szCs w:val="16"/>
              </w:rPr>
              <w:t>% of GDP</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7A5447" w:rsidP="00641E58">
            <w:pPr>
              <w:spacing w:after="0" w:line="240" w:lineRule="auto"/>
              <w:rPr>
                <w:rFonts w:eastAsia="Times New Roman" w:cstheme="minorHAnsi"/>
                <w:b/>
                <w:bCs/>
                <w:sz w:val="20"/>
                <w:szCs w:val="16"/>
              </w:rPr>
            </w:pPr>
            <w:r w:rsidRPr="00877C7B">
              <w:rPr>
                <w:rFonts w:eastAsia="Times New Roman" w:cstheme="minorHAnsi"/>
                <w:b/>
                <w:bCs/>
                <w:sz w:val="20"/>
                <w:szCs w:val="14"/>
              </w:rPr>
              <w:t>Total balance</w:t>
            </w:r>
          </w:p>
        </w:tc>
        <w:tc>
          <w:tcPr>
            <w:tcW w:w="3402" w:type="pct"/>
            <w:gridSpan w:val="10"/>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2020-2023 forecast (December 2019)</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-2,2%</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-2,3%</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-2,2%</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-2,5%</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-2,3%</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-2,3%</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 </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(July 2020)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-8,3%</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-4,8%</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-3,0%</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-8,3%</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-4,8%</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-4,0%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-3,0%</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r>
      <w:tr w:rsidR="00B34427" w:rsidRPr="00877C7B" w:rsidTr="00552D21">
        <w:trPr>
          <w:gridAfter w:val="1"/>
          <w:wAfter w:w="6" w:type="pct"/>
          <w:trHeight w:val="113"/>
        </w:trPr>
        <w:tc>
          <w:tcPr>
            <w:tcW w:w="1592" w:type="pct"/>
            <w:shd w:val="clear" w:color="auto" w:fill="auto"/>
            <w:vAlign w:val="center"/>
            <w:hideMark/>
          </w:tcPr>
          <w:p w:rsidR="00B3442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(October 2020)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-8,5%</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-7,5%</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-4,1%</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-2,9%</w:t>
            </w:r>
          </w:p>
        </w:tc>
        <w:tc>
          <w:tcPr>
            <w:tcW w:w="341"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-8,5%</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-7,7%</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-4,0%</w:t>
            </w:r>
          </w:p>
        </w:tc>
        <w:tc>
          <w:tcPr>
            <w:tcW w:w="340" w:type="pct"/>
            <w:shd w:val="clear" w:color="auto" w:fill="auto"/>
            <w:noWrap/>
            <w:vAlign w:val="center"/>
            <w:hideMark/>
          </w:tcPr>
          <w:p w:rsidR="00B34427" w:rsidRPr="00877C7B" w:rsidRDefault="00B34427" w:rsidP="00B34427">
            <w:pPr>
              <w:spacing w:after="0" w:line="240" w:lineRule="auto"/>
              <w:jc w:val="center"/>
              <w:rPr>
                <w:rFonts w:eastAsia="Times New Roman" w:cstheme="minorHAnsi"/>
                <w:sz w:val="16"/>
                <w:szCs w:val="18"/>
              </w:rPr>
            </w:pPr>
            <w:r w:rsidRPr="00877C7B">
              <w:rPr>
                <w:rFonts w:eastAsia="Times New Roman" w:cstheme="minorHAnsi"/>
                <w:sz w:val="16"/>
                <w:szCs w:val="18"/>
              </w:rPr>
              <w:t>-2,9%</w:t>
            </w:r>
          </w:p>
        </w:tc>
        <w:tc>
          <w:tcPr>
            <w:tcW w:w="342" w:type="pct"/>
            <w:shd w:val="clear" w:color="000000" w:fill="FDE9D9"/>
            <w:noWrap/>
            <w:vAlign w:val="center"/>
            <w:hideMark/>
          </w:tcPr>
          <w:p w:rsidR="00B34427" w:rsidRPr="00877C7B" w:rsidRDefault="00B34427" w:rsidP="00B34427">
            <w:pPr>
              <w:spacing w:after="0" w:line="240" w:lineRule="auto"/>
              <w:jc w:val="center"/>
              <w:rPr>
                <w:rFonts w:eastAsia="Times New Roman" w:cstheme="minorHAnsi"/>
                <w:sz w:val="16"/>
                <w:szCs w:val="16"/>
              </w:rPr>
            </w:pPr>
            <w:r w:rsidRPr="00877C7B">
              <w:rPr>
                <w:rFonts w:eastAsia="Times New Roman" w:cstheme="minorHAnsi"/>
                <w:sz w:val="16"/>
                <w:szCs w:val="16"/>
              </w:rPr>
              <w:t>-2,4%</w:t>
            </w:r>
          </w:p>
        </w:tc>
      </w:tr>
      <w:tr w:rsidR="007A5447" w:rsidRPr="00877C7B" w:rsidTr="00552D21">
        <w:trPr>
          <w:trHeight w:val="113"/>
        </w:trPr>
        <w:tc>
          <w:tcPr>
            <w:tcW w:w="5000" w:type="pct"/>
            <w:gridSpan w:val="12"/>
            <w:shd w:val="clear" w:color="auto" w:fill="auto"/>
            <w:noWrap/>
            <w:vAlign w:val="center"/>
            <w:hideMark/>
          </w:tcPr>
          <w:p w:rsidR="007A5447" w:rsidRPr="00877C7B" w:rsidRDefault="007A5447" w:rsidP="00641E58">
            <w:pPr>
              <w:spacing w:after="0" w:line="240" w:lineRule="auto"/>
              <w:jc w:val="center"/>
              <w:rPr>
                <w:rFonts w:eastAsia="Times New Roman" w:cstheme="minorHAnsi"/>
                <w:sz w:val="20"/>
                <w:szCs w:val="16"/>
              </w:rPr>
            </w:pPr>
            <w:r w:rsidRPr="00877C7B">
              <w:rPr>
                <w:rFonts w:eastAsia="Times New Roman" w:cstheme="minorHAnsi"/>
                <w:sz w:val="20"/>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B34427" w:rsidP="00641E58">
            <w:pPr>
              <w:spacing w:after="0" w:line="240" w:lineRule="auto"/>
              <w:rPr>
                <w:rFonts w:eastAsia="Times New Roman" w:cstheme="minorHAnsi"/>
                <w:b/>
                <w:bCs/>
                <w:sz w:val="20"/>
                <w:szCs w:val="16"/>
              </w:rPr>
            </w:pPr>
            <w:r w:rsidRPr="00877C7B">
              <w:rPr>
                <w:rFonts w:eastAsia="Times New Roman" w:cstheme="minorHAnsi"/>
                <w:b/>
                <w:bCs/>
                <w:sz w:val="20"/>
                <w:szCs w:val="14"/>
              </w:rPr>
              <w:t xml:space="preserve">Modified deficit (IMF program) </w:t>
            </w:r>
          </w:p>
        </w:tc>
        <w:tc>
          <w:tcPr>
            <w:tcW w:w="3402" w:type="pct"/>
            <w:gridSpan w:val="10"/>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2020-2023 forecast (December 2019)</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-2,5%</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-2,7%</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-2,8%</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-2,8%</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-2,7%</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 </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(July 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-8,5%</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-5,1%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-4,3%</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-3,2%</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-8,5%</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-5,1%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-4,3%</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-3,2%</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r>
      <w:tr w:rsidR="007A5447" w:rsidRPr="00877C7B" w:rsidTr="00552D21">
        <w:trPr>
          <w:gridAfter w:val="1"/>
          <w:wAfter w:w="6" w:type="pct"/>
          <w:trHeight w:val="113"/>
        </w:trPr>
        <w:tc>
          <w:tcPr>
            <w:tcW w:w="1592" w:type="pct"/>
            <w:shd w:val="clear" w:color="auto" w:fill="auto"/>
            <w:vAlign w:val="center"/>
            <w:hideMark/>
          </w:tcPr>
          <w:p w:rsidR="007A5447" w:rsidRPr="00877C7B" w:rsidRDefault="00B34427" w:rsidP="00DC6C79">
            <w:pPr>
              <w:spacing w:after="0" w:line="240" w:lineRule="auto"/>
              <w:rPr>
                <w:rFonts w:eastAsia="Times New Roman" w:cstheme="minorHAnsi"/>
                <w:sz w:val="20"/>
                <w:szCs w:val="18"/>
              </w:rPr>
            </w:pPr>
            <w:r w:rsidRPr="00877C7B">
              <w:rPr>
                <w:rFonts w:eastAsia="Times New Roman" w:cstheme="minorHAnsi"/>
                <w:sz w:val="20"/>
                <w:szCs w:val="18"/>
              </w:rPr>
              <w:t>2021-2024 forecast (October 2020)</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-9,1%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-7,6%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-4,4%</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-3,1%</w:t>
            </w:r>
          </w:p>
        </w:tc>
        <w:tc>
          <w:tcPr>
            <w:tcW w:w="341"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-9,1%</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-7,9%</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-4,3%</w:t>
            </w:r>
          </w:p>
        </w:tc>
        <w:tc>
          <w:tcPr>
            <w:tcW w:w="340" w:type="pct"/>
            <w:shd w:val="clear" w:color="auto" w:fill="auto"/>
            <w:noWrap/>
            <w:vAlign w:val="center"/>
            <w:hideMark/>
          </w:tcPr>
          <w:p w:rsidR="007A5447" w:rsidRPr="00877C7B" w:rsidRDefault="007A5447" w:rsidP="00641E58">
            <w:pPr>
              <w:spacing w:after="0" w:line="240" w:lineRule="auto"/>
              <w:jc w:val="center"/>
              <w:rPr>
                <w:rFonts w:eastAsia="Times New Roman" w:cstheme="minorHAnsi"/>
                <w:sz w:val="16"/>
                <w:szCs w:val="18"/>
              </w:rPr>
            </w:pPr>
            <w:r w:rsidRPr="00877C7B">
              <w:rPr>
                <w:rFonts w:eastAsia="Times New Roman" w:cstheme="minorHAnsi"/>
                <w:sz w:val="16"/>
                <w:szCs w:val="18"/>
              </w:rPr>
              <w:t>-3,1%</w:t>
            </w:r>
          </w:p>
        </w:tc>
        <w:tc>
          <w:tcPr>
            <w:tcW w:w="342" w:type="pct"/>
            <w:shd w:val="clear" w:color="000000" w:fill="FDE9D9"/>
            <w:noWrap/>
            <w:vAlign w:val="center"/>
            <w:hideMark/>
          </w:tcPr>
          <w:p w:rsidR="007A5447" w:rsidRPr="00877C7B" w:rsidRDefault="007A5447" w:rsidP="00641E58">
            <w:pPr>
              <w:spacing w:after="0" w:line="240" w:lineRule="auto"/>
              <w:jc w:val="center"/>
              <w:rPr>
                <w:rFonts w:eastAsia="Times New Roman" w:cstheme="minorHAnsi"/>
                <w:sz w:val="16"/>
                <w:szCs w:val="16"/>
              </w:rPr>
            </w:pPr>
            <w:r w:rsidRPr="00877C7B">
              <w:rPr>
                <w:rFonts w:eastAsia="Times New Roman" w:cstheme="minorHAnsi"/>
                <w:sz w:val="16"/>
                <w:szCs w:val="16"/>
              </w:rPr>
              <w:t>-2,6%</w:t>
            </w:r>
          </w:p>
        </w:tc>
      </w:tr>
    </w:tbl>
    <w:p w:rsidR="00544AC3" w:rsidRDefault="00544AC3" w:rsidP="00544AC3">
      <w:pPr>
        <w:spacing w:after="240" w:line="240" w:lineRule="auto"/>
        <w:jc w:val="both"/>
        <w:rPr>
          <w:rFonts w:cstheme="minorHAnsi"/>
        </w:rPr>
      </w:pPr>
    </w:p>
    <w:p w:rsidR="00877C7B" w:rsidRDefault="00877C7B" w:rsidP="00544AC3">
      <w:pPr>
        <w:spacing w:after="240" w:line="240" w:lineRule="auto"/>
        <w:jc w:val="both"/>
        <w:rPr>
          <w:rFonts w:cstheme="minorHAnsi"/>
        </w:rPr>
      </w:pPr>
    </w:p>
    <w:p w:rsidR="00877C7B" w:rsidRPr="00877C7B" w:rsidRDefault="00877C7B" w:rsidP="00544AC3">
      <w:pPr>
        <w:spacing w:after="240" w:line="240" w:lineRule="auto"/>
        <w:jc w:val="both"/>
        <w:rPr>
          <w:rFonts w:cstheme="minorHAnsi"/>
        </w:rPr>
      </w:pPr>
    </w:p>
    <w:p w:rsidR="00537115" w:rsidRPr="00877C7B" w:rsidRDefault="00537115" w:rsidP="003C31A8">
      <w:pPr>
        <w:pStyle w:val="Heading1"/>
        <w:numPr>
          <w:ilvl w:val="1"/>
          <w:numId w:val="7"/>
        </w:numPr>
        <w:tabs>
          <w:tab w:val="left" w:pos="4950"/>
        </w:tabs>
        <w:rPr>
          <w:rFonts w:asciiTheme="minorHAnsi" w:hAnsiTheme="minorHAnsi" w:cstheme="minorHAnsi"/>
          <w:b/>
          <w:sz w:val="28"/>
        </w:rPr>
      </w:pPr>
      <w:bookmarkStart w:id="5" w:name="_Toc58952847"/>
      <w:r w:rsidRPr="00877C7B">
        <w:rPr>
          <w:rFonts w:asciiTheme="minorHAnsi" w:hAnsiTheme="minorHAnsi" w:cstheme="minorHAnsi"/>
          <w:b/>
          <w:sz w:val="28"/>
        </w:rPr>
        <w:t>Government Debt</w:t>
      </w:r>
      <w:bookmarkEnd w:id="5"/>
      <w:r w:rsidRPr="00877C7B">
        <w:rPr>
          <w:rFonts w:asciiTheme="minorHAnsi" w:hAnsiTheme="minorHAnsi" w:cstheme="minorHAnsi"/>
          <w:b/>
          <w:sz w:val="28"/>
        </w:rPr>
        <w:t xml:space="preserve"> </w:t>
      </w:r>
    </w:p>
    <w:p w:rsidR="00537115" w:rsidRPr="00877C7B" w:rsidRDefault="00537115" w:rsidP="00537115">
      <w:pPr>
        <w:rPr>
          <w:rFonts w:cstheme="minorHAnsi"/>
        </w:rPr>
      </w:pPr>
    </w:p>
    <w:tbl>
      <w:tblPr>
        <w:tblW w:w="515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2468"/>
        <w:gridCol w:w="1613"/>
        <w:gridCol w:w="1613"/>
        <w:gridCol w:w="1613"/>
        <w:gridCol w:w="1288"/>
        <w:gridCol w:w="1300"/>
      </w:tblGrid>
      <w:tr w:rsidR="002B4F56" w:rsidRPr="00877C7B" w:rsidTr="00552D21">
        <w:trPr>
          <w:trHeight w:val="314"/>
          <w:jc w:val="center"/>
        </w:trPr>
        <w:tc>
          <w:tcPr>
            <w:tcW w:w="1247" w:type="pct"/>
            <w:shd w:val="clear" w:color="auto" w:fill="auto"/>
            <w:noWrap/>
            <w:vAlign w:val="center"/>
            <w:hideMark/>
          </w:tcPr>
          <w:p w:rsidR="002B4F56" w:rsidRPr="00877C7B" w:rsidRDefault="002B4F56" w:rsidP="002B4F56">
            <w:pPr>
              <w:spacing w:after="0" w:line="276" w:lineRule="auto"/>
              <w:rPr>
                <w:rFonts w:eastAsia="Times New Roman" w:cstheme="minorHAnsi"/>
                <w:b/>
                <w:bCs/>
                <w:color w:val="000000"/>
                <w:sz w:val="20"/>
                <w:szCs w:val="20"/>
                <w:lang w:val="ka-GE"/>
              </w:rPr>
            </w:pPr>
            <w:r w:rsidRPr="00877C7B">
              <w:rPr>
                <w:rFonts w:eastAsia="Times New Roman" w:cstheme="minorHAnsi"/>
                <w:b/>
                <w:bCs/>
                <w:color w:val="000000"/>
                <w:sz w:val="20"/>
                <w:szCs w:val="20"/>
              </w:rPr>
              <w:t>Government Debt (million GEL)</w:t>
            </w:r>
          </w:p>
        </w:tc>
        <w:tc>
          <w:tcPr>
            <w:tcW w:w="815" w:type="pct"/>
            <w:shd w:val="clear" w:color="000000" w:fill="FFFFFF"/>
            <w:noWrap/>
            <w:vAlign w:val="center"/>
            <w:hideMark/>
          </w:tcPr>
          <w:p w:rsidR="002B4F56" w:rsidRPr="00877C7B" w:rsidRDefault="002B4F56" w:rsidP="002B4F56">
            <w:pPr>
              <w:spacing w:after="0" w:line="276"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2020</w:t>
            </w:r>
          </w:p>
        </w:tc>
        <w:tc>
          <w:tcPr>
            <w:tcW w:w="815" w:type="pct"/>
            <w:shd w:val="clear" w:color="000000" w:fill="FFFFFF"/>
            <w:noWrap/>
            <w:vAlign w:val="center"/>
            <w:hideMark/>
          </w:tcPr>
          <w:p w:rsidR="002B4F56" w:rsidRPr="00877C7B" w:rsidRDefault="002B4F56" w:rsidP="002B4F56">
            <w:pPr>
              <w:spacing w:after="0" w:line="276"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2021</w:t>
            </w:r>
          </w:p>
        </w:tc>
        <w:tc>
          <w:tcPr>
            <w:tcW w:w="815" w:type="pct"/>
            <w:shd w:val="clear" w:color="000000" w:fill="FFFFFF"/>
            <w:noWrap/>
            <w:vAlign w:val="center"/>
            <w:hideMark/>
          </w:tcPr>
          <w:p w:rsidR="002B4F56" w:rsidRPr="00877C7B" w:rsidRDefault="002B4F56" w:rsidP="002B4F56">
            <w:pPr>
              <w:spacing w:after="0" w:line="276"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2022</w:t>
            </w:r>
          </w:p>
        </w:tc>
        <w:tc>
          <w:tcPr>
            <w:tcW w:w="651" w:type="pct"/>
            <w:shd w:val="clear" w:color="000000" w:fill="FFFFFF"/>
            <w:noWrap/>
            <w:vAlign w:val="center"/>
            <w:hideMark/>
          </w:tcPr>
          <w:p w:rsidR="002B4F56" w:rsidRPr="00877C7B" w:rsidRDefault="002B4F56" w:rsidP="002B4F56">
            <w:pPr>
              <w:spacing w:after="0" w:line="276"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2023</w:t>
            </w:r>
          </w:p>
        </w:tc>
        <w:tc>
          <w:tcPr>
            <w:tcW w:w="658" w:type="pct"/>
            <w:shd w:val="clear" w:color="000000" w:fill="FFFFFF"/>
            <w:noWrap/>
            <w:vAlign w:val="center"/>
            <w:hideMark/>
          </w:tcPr>
          <w:p w:rsidR="002B4F56" w:rsidRPr="00877C7B" w:rsidRDefault="002B4F56" w:rsidP="002B4F56">
            <w:pPr>
              <w:spacing w:after="0" w:line="276" w:lineRule="auto"/>
              <w:jc w:val="center"/>
              <w:rPr>
                <w:rFonts w:eastAsia="Times New Roman" w:cstheme="minorHAnsi"/>
                <w:b/>
                <w:bCs/>
                <w:color w:val="000000"/>
                <w:sz w:val="20"/>
                <w:szCs w:val="20"/>
              </w:rPr>
            </w:pPr>
            <w:r w:rsidRPr="00877C7B">
              <w:rPr>
                <w:rFonts w:eastAsia="Times New Roman" w:cstheme="minorHAnsi"/>
                <w:b/>
                <w:bCs/>
                <w:color w:val="000000"/>
                <w:sz w:val="20"/>
                <w:szCs w:val="20"/>
              </w:rPr>
              <w:t>2024</w:t>
            </w:r>
          </w:p>
        </w:tc>
      </w:tr>
      <w:tr w:rsidR="002B4F56" w:rsidRPr="00877C7B" w:rsidTr="00552D21">
        <w:trPr>
          <w:trHeight w:val="314"/>
          <w:jc w:val="center"/>
        </w:trPr>
        <w:tc>
          <w:tcPr>
            <w:tcW w:w="1247"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 xml:space="preserve">2020-2023 </w:t>
            </w:r>
            <w:r w:rsidRPr="00877C7B">
              <w:rPr>
                <w:rFonts w:eastAsia="Times New Roman" w:cstheme="minorHAnsi"/>
                <w:color w:val="000000"/>
                <w:sz w:val="20"/>
                <w:szCs w:val="20"/>
              </w:rPr>
              <w:t>Forecast</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22,579.0</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24,274.0</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26,225.0</w:t>
            </w:r>
          </w:p>
        </w:tc>
        <w:tc>
          <w:tcPr>
            <w:tcW w:w="651" w:type="pct"/>
            <w:shd w:val="clear" w:color="auto" w:fill="auto"/>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28,315.0</w:t>
            </w:r>
          </w:p>
        </w:tc>
        <w:tc>
          <w:tcPr>
            <w:tcW w:w="658" w:type="pct"/>
            <w:shd w:val="clear" w:color="auto" w:fill="auto"/>
            <w:vAlign w:val="center"/>
            <w:hideMark/>
          </w:tcPr>
          <w:p w:rsidR="002B4F56" w:rsidRPr="00877C7B" w:rsidRDefault="002B4F56" w:rsidP="002B4F56">
            <w:pPr>
              <w:spacing w:after="0" w:line="276" w:lineRule="auto"/>
              <w:jc w:val="center"/>
              <w:rPr>
                <w:rFonts w:eastAsia="Times New Roman" w:cstheme="minorHAnsi"/>
                <w:color w:val="000000"/>
                <w:sz w:val="20"/>
                <w:szCs w:val="20"/>
              </w:rPr>
            </w:pPr>
          </w:p>
        </w:tc>
      </w:tr>
      <w:tr w:rsidR="002B4F56" w:rsidRPr="00877C7B" w:rsidTr="00552D21">
        <w:trPr>
          <w:trHeight w:val="314"/>
          <w:jc w:val="center"/>
        </w:trPr>
        <w:tc>
          <w:tcPr>
            <w:tcW w:w="1247"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 of GDP</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42.5</w:t>
            </w:r>
            <w:r w:rsidRPr="00877C7B">
              <w:rPr>
                <w:rFonts w:eastAsia="Times New Roman" w:cstheme="minorHAnsi"/>
                <w:color w:val="000000"/>
                <w:sz w:val="20"/>
                <w:szCs w:val="20"/>
              </w:rPr>
              <w:t>%</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42.3</w:t>
            </w:r>
            <w:r w:rsidRPr="00877C7B">
              <w:rPr>
                <w:rFonts w:eastAsia="Times New Roman" w:cstheme="minorHAnsi"/>
                <w:color w:val="000000"/>
                <w:sz w:val="20"/>
                <w:szCs w:val="20"/>
              </w:rPr>
              <w:t>%</w:t>
            </w:r>
          </w:p>
        </w:tc>
        <w:tc>
          <w:tcPr>
            <w:tcW w:w="815"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42.2</w:t>
            </w:r>
            <w:r w:rsidRPr="00877C7B">
              <w:rPr>
                <w:rFonts w:eastAsia="Times New Roman" w:cstheme="minorHAnsi"/>
                <w:color w:val="000000"/>
                <w:sz w:val="20"/>
                <w:szCs w:val="20"/>
              </w:rPr>
              <w:t>%</w:t>
            </w:r>
          </w:p>
        </w:tc>
        <w:tc>
          <w:tcPr>
            <w:tcW w:w="651" w:type="pct"/>
            <w:shd w:val="clear" w:color="auto" w:fill="auto"/>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42</w:t>
            </w:r>
            <w:r w:rsidRPr="00877C7B">
              <w:rPr>
                <w:rFonts w:eastAsia="Times New Roman" w:cstheme="minorHAnsi"/>
                <w:color w:val="000000"/>
                <w:sz w:val="20"/>
                <w:szCs w:val="20"/>
              </w:rPr>
              <w:t>.0%</w:t>
            </w:r>
          </w:p>
        </w:tc>
        <w:tc>
          <w:tcPr>
            <w:tcW w:w="658" w:type="pct"/>
            <w:shd w:val="clear" w:color="auto" w:fill="auto"/>
            <w:vAlign w:val="center"/>
            <w:hideMark/>
          </w:tcPr>
          <w:p w:rsidR="002B4F56" w:rsidRPr="00877C7B" w:rsidRDefault="002B4F56" w:rsidP="002B4F56">
            <w:pPr>
              <w:spacing w:after="0" w:line="276" w:lineRule="auto"/>
              <w:jc w:val="center"/>
              <w:rPr>
                <w:rFonts w:eastAsia="Times New Roman" w:cstheme="minorHAnsi"/>
                <w:color w:val="000000"/>
                <w:sz w:val="20"/>
                <w:szCs w:val="20"/>
              </w:rPr>
            </w:pPr>
          </w:p>
        </w:tc>
      </w:tr>
      <w:tr w:rsidR="002B4F56" w:rsidRPr="00877C7B" w:rsidTr="00552D21">
        <w:trPr>
          <w:trHeight w:val="314"/>
          <w:jc w:val="center"/>
        </w:trPr>
        <w:tc>
          <w:tcPr>
            <w:tcW w:w="1247"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lang w:val="ka-GE"/>
              </w:rPr>
              <w:t xml:space="preserve">2020-2024 </w:t>
            </w:r>
            <w:r w:rsidRPr="00877C7B">
              <w:rPr>
                <w:rFonts w:eastAsia="Times New Roman" w:cstheme="minorHAnsi"/>
                <w:color w:val="000000"/>
                <w:sz w:val="20"/>
                <w:szCs w:val="20"/>
              </w:rPr>
              <w:t>Forecast</w:t>
            </w:r>
          </w:p>
        </w:tc>
        <w:tc>
          <w:tcPr>
            <w:tcW w:w="815" w:type="pct"/>
            <w:shd w:val="clear" w:color="auto" w:fill="auto"/>
            <w:noWrap/>
            <w:vAlign w:val="bottom"/>
            <w:hideMark/>
          </w:tcPr>
          <w:p w:rsidR="002B4F56" w:rsidRPr="00877C7B" w:rsidRDefault="002B4F56" w:rsidP="002B4F56">
            <w:pPr>
              <w:rPr>
                <w:rFonts w:cstheme="minorHAnsi"/>
                <w:sz w:val="20"/>
                <w:szCs w:val="20"/>
              </w:rPr>
            </w:pPr>
            <w:r w:rsidRPr="00877C7B">
              <w:rPr>
                <w:rFonts w:cstheme="minorHAnsi"/>
                <w:sz w:val="20"/>
                <w:szCs w:val="20"/>
              </w:rPr>
              <w:t xml:space="preserve">   </w:t>
            </w:r>
            <w:r w:rsidRPr="00877C7B">
              <w:rPr>
                <w:rFonts w:cstheme="minorHAnsi"/>
                <w:sz w:val="20"/>
                <w:szCs w:val="20"/>
                <w:lang w:val="ka-GE"/>
              </w:rPr>
              <w:t xml:space="preserve">    </w:t>
            </w:r>
            <w:r w:rsidRPr="00877C7B">
              <w:rPr>
                <w:rFonts w:cstheme="minorHAnsi"/>
                <w:sz w:val="20"/>
                <w:szCs w:val="20"/>
              </w:rPr>
              <w:t xml:space="preserve">29,569.1 </w:t>
            </w:r>
          </w:p>
        </w:tc>
        <w:tc>
          <w:tcPr>
            <w:tcW w:w="815" w:type="pct"/>
            <w:shd w:val="clear" w:color="auto" w:fill="auto"/>
            <w:noWrap/>
            <w:vAlign w:val="bottom"/>
            <w:hideMark/>
          </w:tcPr>
          <w:p w:rsidR="002B4F56" w:rsidRPr="00877C7B" w:rsidRDefault="002B4F56" w:rsidP="002B4F56">
            <w:pPr>
              <w:rPr>
                <w:rFonts w:cstheme="minorHAnsi"/>
                <w:sz w:val="20"/>
                <w:szCs w:val="20"/>
              </w:rPr>
            </w:pPr>
            <w:r w:rsidRPr="00877C7B">
              <w:rPr>
                <w:rFonts w:cstheme="minorHAnsi"/>
                <w:sz w:val="20"/>
                <w:szCs w:val="20"/>
              </w:rPr>
              <w:t xml:space="preserve">   </w:t>
            </w:r>
            <w:r w:rsidRPr="00877C7B">
              <w:rPr>
                <w:rFonts w:cstheme="minorHAnsi"/>
                <w:sz w:val="20"/>
                <w:szCs w:val="20"/>
                <w:lang w:val="ka-GE"/>
              </w:rPr>
              <w:t xml:space="preserve">   </w:t>
            </w:r>
            <w:r w:rsidRPr="00877C7B">
              <w:rPr>
                <w:rFonts w:cstheme="minorHAnsi"/>
                <w:sz w:val="20"/>
                <w:szCs w:val="20"/>
              </w:rPr>
              <w:t xml:space="preserve">32,111.5 </w:t>
            </w:r>
          </w:p>
        </w:tc>
        <w:tc>
          <w:tcPr>
            <w:tcW w:w="815" w:type="pct"/>
            <w:shd w:val="clear" w:color="auto" w:fill="auto"/>
            <w:noWrap/>
            <w:vAlign w:val="bottom"/>
            <w:hideMark/>
          </w:tcPr>
          <w:p w:rsidR="002B4F56" w:rsidRPr="00877C7B" w:rsidRDefault="002B4F56" w:rsidP="002B4F56">
            <w:pPr>
              <w:rPr>
                <w:rFonts w:cstheme="minorHAnsi"/>
                <w:sz w:val="20"/>
                <w:szCs w:val="20"/>
              </w:rPr>
            </w:pPr>
            <w:r w:rsidRPr="00877C7B">
              <w:rPr>
                <w:rFonts w:cstheme="minorHAnsi"/>
                <w:sz w:val="20"/>
                <w:szCs w:val="20"/>
              </w:rPr>
              <w:t xml:space="preserve">   </w:t>
            </w:r>
            <w:r w:rsidRPr="00877C7B">
              <w:rPr>
                <w:rFonts w:cstheme="minorHAnsi"/>
                <w:sz w:val="20"/>
                <w:szCs w:val="20"/>
                <w:lang w:val="ka-GE"/>
              </w:rPr>
              <w:t xml:space="preserve">   </w:t>
            </w:r>
            <w:r w:rsidRPr="00877C7B">
              <w:rPr>
                <w:rFonts w:cstheme="minorHAnsi"/>
                <w:sz w:val="20"/>
                <w:szCs w:val="20"/>
              </w:rPr>
              <w:t xml:space="preserve">34,119.5 </w:t>
            </w:r>
          </w:p>
        </w:tc>
        <w:tc>
          <w:tcPr>
            <w:tcW w:w="651" w:type="pct"/>
            <w:shd w:val="clear" w:color="auto" w:fill="auto"/>
            <w:vAlign w:val="bottom"/>
            <w:hideMark/>
          </w:tcPr>
          <w:p w:rsidR="002B4F56" w:rsidRPr="00877C7B" w:rsidRDefault="002B4F56" w:rsidP="002B4F56">
            <w:pPr>
              <w:rPr>
                <w:rFonts w:cstheme="minorHAnsi"/>
                <w:sz w:val="20"/>
                <w:szCs w:val="20"/>
              </w:rPr>
            </w:pPr>
            <w:r w:rsidRPr="00877C7B">
              <w:rPr>
                <w:rFonts w:cstheme="minorHAnsi"/>
                <w:sz w:val="20"/>
                <w:szCs w:val="20"/>
              </w:rPr>
              <w:t xml:space="preserve">   36,608.5 </w:t>
            </w:r>
          </w:p>
        </w:tc>
        <w:tc>
          <w:tcPr>
            <w:tcW w:w="658" w:type="pct"/>
            <w:shd w:val="clear" w:color="auto" w:fill="auto"/>
            <w:vAlign w:val="bottom"/>
            <w:hideMark/>
          </w:tcPr>
          <w:p w:rsidR="002B4F56" w:rsidRPr="00877C7B" w:rsidRDefault="002B4F56" w:rsidP="002B4F56">
            <w:pPr>
              <w:rPr>
                <w:rFonts w:cstheme="minorHAnsi"/>
                <w:sz w:val="20"/>
                <w:szCs w:val="20"/>
              </w:rPr>
            </w:pPr>
            <w:r w:rsidRPr="00877C7B">
              <w:rPr>
                <w:rFonts w:cstheme="minorHAnsi"/>
                <w:sz w:val="20"/>
                <w:szCs w:val="20"/>
              </w:rPr>
              <w:t xml:space="preserve">   39,504.5 </w:t>
            </w:r>
          </w:p>
        </w:tc>
      </w:tr>
      <w:tr w:rsidR="002B4F56" w:rsidRPr="00877C7B" w:rsidTr="00552D21">
        <w:trPr>
          <w:trHeight w:val="373"/>
          <w:jc w:val="center"/>
        </w:trPr>
        <w:tc>
          <w:tcPr>
            <w:tcW w:w="1247" w:type="pct"/>
            <w:shd w:val="clear" w:color="auto" w:fill="auto"/>
            <w:noWrap/>
            <w:vAlign w:val="center"/>
            <w:hideMark/>
          </w:tcPr>
          <w:p w:rsidR="002B4F56" w:rsidRPr="00877C7B" w:rsidRDefault="002B4F56" w:rsidP="002B4F56">
            <w:pPr>
              <w:spacing w:after="0" w:line="276" w:lineRule="auto"/>
              <w:jc w:val="center"/>
              <w:rPr>
                <w:rFonts w:eastAsia="Times New Roman" w:cstheme="minorHAnsi"/>
                <w:color w:val="000000"/>
                <w:sz w:val="20"/>
                <w:szCs w:val="20"/>
              </w:rPr>
            </w:pPr>
            <w:r w:rsidRPr="00877C7B">
              <w:rPr>
                <w:rFonts w:eastAsia="Times New Roman" w:cstheme="minorHAnsi"/>
                <w:color w:val="000000"/>
                <w:sz w:val="20"/>
                <w:szCs w:val="20"/>
              </w:rPr>
              <w:t>% of GDP</w:t>
            </w:r>
          </w:p>
        </w:tc>
        <w:tc>
          <w:tcPr>
            <w:tcW w:w="815" w:type="pct"/>
            <w:shd w:val="clear" w:color="auto" w:fill="auto"/>
            <w:noWrap/>
            <w:hideMark/>
          </w:tcPr>
          <w:p w:rsidR="002B4F56" w:rsidRPr="00877C7B" w:rsidRDefault="002B4F56" w:rsidP="002B4F56">
            <w:pPr>
              <w:spacing w:after="0" w:line="276" w:lineRule="auto"/>
              <w:jc w:val="center"/>
              <w:rPr>
                <w:rFonts w:eastAsia="Times New Roman" w:cstheme="minorHAnsi"/>
                <w:color w:val="000000"/>
                <w:sz w:val="20"/>
                <w:szCs w:val="20"/>
                <w:lang w:val="ka-GE"/>
              </w:rPr>
            </w:pPr>
            <w:r w:rsidRPr="00877C7B">
              <w:rPr>
                <w:rFonts w:eastAsia="Times New Roman" w:cstheme="minorHAnsi"/>
                <w:color w:val="000000"/>
                <w:sz w:val="20"/>
                <w:szCs w:val="20"/>
                <w:lang w:val="ka-GE"/>
              </w:rPr>
              <w:t>59.9%</w:t>
            </w:r>
          </w:p>
        </w:tc>
        <w:tc>
          <w:tcPr>
            <w:tcW w:w="815" w:type="pct"/>
            <w:shd w:val="clear" w:color="auto" w:fill="auto"/>
            <w:noWrap/>
            <w:hideMark/>
          </w:tcPr>
          <w:p w:rsidR="002B4F56" w:rsidRPr="00877C7B" w:rsidRDefault="002B4F56" w:rsidP="002B4F56">
            <w:pPr>
              <w:spacing w:after="0" w:line="276" w:lineRule="auto"/>
              <w:jc w:val="center"/>
              <w:rPr>
                <w:rFonts w:eastAsia="Times New Roman" w:cstheme="minorHAnsi"/>
                <w:color w:val="000000"/>
                <w:sz w:val="20"/>
                <w:szCs w:val="20"/>
                <w:lang w:val="ka-GE"/>
              </w:rPr>
            </w:pPr>
            <w:r w:rsidRPr="00877C7B">
              <w:rPr>
                <w:rFonts w:eastAsia="Times New Roman" w:cstheme="minorHAnsi"/>
                <w:color w:val="000000"/>
                <w:sz w:val="20"/>
                <w:szCs w:val="20"/>
                <w:lang w:val="ka-GE"/>
              </w:rPr>
              <w:t>60.1%</w:t>
            </w:r>
          </w:p>
        </w:tc>
        <w:tc>
          <w:tcPr>
            <w:tcW w:w="815" w:type="pct"/>
            <w:shd w:val="clear" w:color="auto" w:fill="auto"/>
            <w:noWrap/>
            <w:hideMark/>
          </w:tcPr>
          <w:p w:rsidR="002B4F56" w:rsidRPr="00877C7B" w:rsidRDefault="002B4F56" w:rsidP="002B4F56">
            <w:pPr>
              <w:spacing w:after="0" w:line="276" w:lineRule="auto"/>
              <w:jc w:val="center"/>
              <w:rPr>
                <w:rFonts w:eastAsia="Times New Roman" w:cstheme="minorHAnsi"/>
                <w:color w:val="000000"/>
                <w:sz w:val="20"/>
                <w:szCs w:val="20"/>
                <w:lang w:val="ka-GE"/>
              </w:rPr>
            </w:pPr>
            <w:r w:rsidRPr="00877C7B">
              <w:rPr>
                <w:rFonts w:eastAsia="Times New Roman" w:cstheme="minorHAnsi"/>
                <w:color w:val="000000"/>
                <w:sz w:val="20"/>
                <w:szCs w:val="20"/>
                <w:lang w:val="ka-GE"/>
              </w:rPr>
              <w:t>58.6%</w:t>
            </w:r>
          </w:p>
        </w:tc>
        <w:tc>
          <w:tcPr>
            <w:tcW w:w="651" w:type="pct"/>
            <w:shd w:val="clear" w:color="auto" w:fill="auto"/>
            <w:hideMark/>
          </w:tcPr>
          <w:p w:rsidR="002B4F56" w:rsidRPr="00877C7B" w:rsidRDefault="002B4F56" w:rsidP="002B4F56">
            <w:pPr>
              <w:spacing w:after="0" w:line="276" w:lineRule="auto"/>
              <w:jc w:val="center"/>
              <w:rPr>
                <w:rFonts w:eastAsia="Times New Roman" w:cstheme="minorHAnsi"/>
                <w:color w:val="000000"/>
                <w:sz w:val="20"/>
                <w:szCs w:val="20"/>
                <w:lang w:val="ka-GE"/>
              </w:rPr>
            </w:pPr>
            <w:r w:rsidRPr="00877C7B">
              <w:rPr>
                <w:rFonts w:eastAsia="Times New Roman" w:cstheme="minorHAnsi"/>
                <w:color w:val="000000"/>
                <w:sz w:val="20"/>
                <w:szCs w:val="20"/>
                <w:lang w:val="ka-GE"/>
              </w:rPr>
              <w:t>57.8%</w:t>
            </w:r>
          </w:p>
        </w:tc>
        <w:tc>
          <w:tcPr>
            <w:tcW w:w="658" w:type="pct"/>
            <w:shd w:val="clear" w:color="auto" w:fill="auto"/>
            <w:hideMark/>
          </w:tcPr>
          <w:p w:rsidR="002B4F56" w:rsidRPr="00877C7B" w:rsidRDefault="002B4F56" w:rsidP="002B4F56">
            <w:pPr>
              <w:spacing w:after="0" w:line="276" w:lineRule="auto"/>
              <w:jc w:val="center"/>
              <w:rPr>
                <w:rFonts w:eastAsia="Times New Roman" w:cstheme="minorHAnsi"/>
                <w:color w:val="000000"/>
                <w:sz w:val="20"/>
                <w:szCs w:val="20"/>
                <w:lang w:val="ka-GE"/>
              </w:rPr>
            </w:pPr>
            <w:r w:rsidRPr="00877C7B">
              <w:rPr>
                <w:rFonts w:eastAsia="Times New Roman" w:cstheme="minorHAnsi"/>
                <w:color w:val="000000"/>
                <w:sz w:val="20"/>
                <w:szCs w:val="20"/>
                <w:lang w:val="ka-GE"/>
              </w:rPr>
              <w:t>57.6%</w:t>
            </w:r>
          </w:p>
        </w:tc>
      </w:tr>
    </w:tbl>
    <w:p w:rsidR="00537115" w:rsidRPr="00877C7B" w:rsidRDefault="00537115" w:rsidP="00544AC3">
      <w:pPr>
        <w:spacing w:after="240" w:line="240" w:lineRule="auto"/>
        <w:jc w:val="both"/>
        <w:rPr>
          <w:rFonts w:cstheme="minorHAnsi"/>
        </w:rPr>
      </w:pPr>
    </w:p>
    <w:p w:rsidR="002B4F56" w:rsidRPr="00877C7B" w:rsidRDefault="002B4F56" w:rsidP="00877C7B">
      <w:pPr>
        <w:pStyle w:val="NoSpacing"/>
        <w:spacing w:line="276" w:lineRule="auto"/>
        <w:ind w:firstLine="720"/>
        <w:jc w:val="both"/>
        <w:rPr>
          <w:rFonts w:cstheme="minorHAnsi"/>
        </w:rPr>
      </w:pPr>
      <w:r w:rsidRPr="00877C7B">
        <w:rPr>
          <w:rFonts w:cstheme="minorHAnsi"/>
        </w:rPr>
        <w:t xml:space="preserve">Changes in Government Debt as defined in the Organic Law on “Economic Liberty Act” compared to the precious forecast is mostly caused by the Pandemic of Covid-19 spread by the end of 2019 and affecting negatively to the Economic Developments of the World, including Georgia. As a result of the above mentioned economic shock the Budget Deficit was increased due to lower revenues and higher spending needs. Exchange rate has also affected the foreign currency denominated debt as well as the pace of performance in the donor financed investment projects have affected the Debt forecast. To finance the 2020 Budget needs the borrowing has increased significantly and the Government Debt stock by the end of 2020 is expected to exceed 60% of GDP. The elevated level of Debt will be retained by end 2021 as the need for higher deficit as a result of pandemic spread remains in 2021 as well. </w:t>
      </w:r>
    </w:p>
    <w:p w:rsidR="00C055B5" w:rsidRPr="00877C7B" w:rsidRDefault="002F0719" w:rsidP="00877C7B">
      <w:pPr>
        <w:pStyle w:val="NoSpacing"/>
        <w:spacing w:line="276" w:lineRule="auto"/>
        <w:ind w:firstLine="720"/>
        <w:jc w:val="both"/>
        <w:rPr>
          <w:rFonts w:cstheme="minorHAnsi"/>
        </w:rPr>
      </w:pPr>
      <w:r w:rsidRPr="00877C7B">
        <w:rPr>
          <w:rFonts w:cstheme="minorHAnsi"/>
        </w:rPr>
        <w:t xml:space="preserve">It should be noted that the net domestic borrowing for 2021 is expected to equal 0 and all the financing needs will be covered through foreign borrowing and using the deposits accumulated on treasury account by end-2020. </w:t>
      </w:r>
      <w:r w:rsidR="005C2194" w:rsidRPr="00877C7B">
        <w:rPr>
          <w:rFonts w:cstheme="minorHAnsi"/>
        </w:rPr>
        <w:t xml:space="preserve">Deposits accumulated on Treasury Accounts will also be used to finance 2022 budget Deficit. Government Debt as % of GDP will start declining gradually from 2022. </w:t>
      </w:r>
    </w:p>
    <w:p w:rsidR="00877C7B" w:rsidRDefault="00877C7B">
      <w:pPr>
        <w:rPr>
          <w:rFonts w:cstheme="minorHAnsi"/>
        </w:rPr>
      </w:pPr>
      <w:r>
        <w:rPr>
          <w:rFonts w:cstheme="minorHAnsi"/>
        </w:rPr>
        <w:br w:type="page"/>
      </w:r>
    </w:p>
    <w:p w:rsidR="00A146F5" w:rsidRPr="00877C7B" w:rsidRDefault="00C055B5" w:rsidP="00CB1D53">
      <w:pPr>
        <w:pStyle w:val="Heading1"/>
        <w:numPr>
          <w:ilvl w:val="0"/>
          <w:numId w:val="1"/>
        </w:numPr>
        <w:rPr>
          <w:rFonts w:asciiTheme="minorHAnsi" w:hAnsiTheme="minorHAnsi" w:cstheme="minorHAnsi"/>
          <w:b/>
          <w:sz w:val="28"/>
          <w:lang w:val="en-GB"/>
        </w:rPr>
      </w:pPr>
      <w:bookmarkStart w:id="6" w:name="_Toc58952848"/>
      <w:r w:rsidRPr="00877C7B">
        <w:rPr>
          <w:rFonts w:asciiTheme="minorHAnsi" w:hAnsiTheme="minorHAnsi" w:cstheme="minorHAnsi"/>
          <w:b/>
          <w:sz w:val="28"/>
          <w:lang w:val="en-GB"/>
        </w:rPr>
        <w:t xml:space="preserve">New Policy Directions reflected in the 2021 draft State Budget law </w:t>
      </w:r>
      <w:r w:rsidR="003C31A8" w:rsidRPr="00877C7B">
        <w:rPr>
          <w:rFonts w:asciiTheme="minorHAnsi" w:hAnsiTheme="minorHAnsi" w:cstheme="minorHAnsi"/>
          <w:b/>
          <w:sz w:val="28"/>
          <w:lang w:val="en-GB"/>
        </w:rPr>
        <w:t>Package</w:t>
      </w:r>
      <w:bookmarkEnd w:id="6"/>
    </w:p>
    <w:p w:rsidR="003C31A8" w:rsidRPr="00877C7B" w:rsidRDefault="003C31A8" w:rsidP="003C31A8">
      <w:pPr>
        <w:rPr>
          <w:rFonts w:cstheme="minorHAnsi"/>
          <w:lang w:val="en-GB"/>
        </w:rPr>
      </w:pPr>
    </w:p>
    <w:p w:rsidR="00C055B5" w:rsidRPr="00877C7B" w:rsidRDefault="00C055B5" w:rsidP="00877C7B">
      <w:pPr>
        <w:spacing w:after="0" w:line="276" w:lineRule="auto"/>
        <w:ind w:firstLine="720"/>
        <w:jc w:val="both"/>
        <w:rPr>
          <w:rFonts w:cstheme="minorHAnsi"/>
          <w:lang w:val="en-GB"/>
        </w:rPr>
      </w:pPr>
      <w:r w:rsidRPr="00877C7B">
        <w:rPr>
          <w:rFonts w:cstheme="minorHAnsi"/>
        </w:rPr>
        <w:t>Within the framework of the Public Finance Management reform the Medium-term Expenditure Framework (Basic Data and Direction document – BDD) has been further strengthened for the last few years. Additional template</w:t>
      </w:r>
      <w:r w:rsidRPr="00877C7B">
        <w:rPr>
          <w:rStyle w:val="FootnoteReference"/>
          <w:rFonts w:cstheme="minorHAnsi"/>
        </w:rPr>
        <w:footnoteReference w:id="3"/>
      </w:r>
      <w:r w:rsidRPr="00877C7B">
        <w:rPr>
          <w:rFonts w:cstheme="minorHAnsi"/>
        </w:rPr>
        <w:t xml:space="preserve"> was developed for the preparation of the Basic Data and Direction (BDD) document for 2021-2024, </w:t>
      </w:r>
      <w:r w:rsidRPr="00877C7B">
        <w:rPr>
          <w:rFonts w:cstheme="minorHAnsi"/>
          <w:lang w:val="en-GB"/>
        </w:rPr>
        <w:t>where the allocations required to finance the activities to be implemented within the existing policy (baseline policy) were separated from the new policies envisaged in Georgian Legislation and demand for new policy initiatives not yet envisaged in the legislation for the medium-term period. It was the first time in 2020, when the relevant information (new policy directions in different areas and the allocation within the relevant program) about baseline and new policy directions has been reflected in the 2021 draft State Budget Law package</w:t>
      </w:r>
      <w:r w:rsidRPr="00877C7B">
        <w:rPr>
          <w:rStyle w:val="FootnoteReference"/>
          <w:rFonts w:cstheme="minorHAnsi"/>
          <w:lang w:val="en-GB"/>
        </w:rPr>
        <w:footnoteReference w:id="4"/>
      </w:r>
      <w:r w:rsidRPr="00877C7B">
        <w:rPr>
          <w:rFonts w:cstheme="minorHAnsi"/>
          <w:lang w:val="en-GB"/>
        </w:rPr>
        <w:t xml:space="preserve"> submitted to the Parliament of Georgia (in the Basic Data and Direction (BDD) document</w:t>
      </w:r>
      <w:r w:rsidRPr="00877C7B">
        <w:rPr>
          <w:rStyle w:val="FootnoteReference"/>
          <w:rFonts w:cstheme="minorHAnsi"/>
          <w:lang w:val="en-GB"/>
        </w:rPr>
        <w:footnoteReference w:id="5"/>
      </w:r>
      <w:r w:rsidRPr="00877C7B">
        <w:rPr>
          <w:rFonts w:cstheme="minorHAnsi"/>
          <w:lang w:val="en-GB"/>
        </w:rPr>
        <w:t xml:space="preserve"> and the Program Budget Annex</w:t>
      </w:r>
      <w:r w:rsidRPr="00877C7B">
        <w:rPr>
          <w:rStyle w:val="FootnoteReference"/>
          <w:rFonts w:cstheme="minorHAnsi"/>
          <w:lang w:val="en-GB"/>
        </w:rPr>
        <w:footnoteReference w:id="6"/>
      </w:r>
      <w:r w:rsidRPr="00877C7B">
        <w:rPr>
          <w:rFonts w:cstheme="minorHAnsi"/>
          <w:lang w:val="en-GB"/>
        </w:rPr>
        <w:t xml:space="preserve">). </w:t>
      </w:r>
    </w:p>
    <w:p w:rsidR="008A1D1D" w:rsidRPr="00877C7B" w:rsidRDefault="008A1D1D" w:rsidP="008A1D1D">
      <w:pPr>
        <w:spacing w:after="0"/>
        <w:jc w:val="both"/>
        <w:rPr>
          <w:rFonts w:cstheme="minorHAnsi"/>
          <w:lang w:val="en-GB"/>
        </w:rPr>
      </w:pPr>
    </w:p>
    <w:p w:rsidR="00C055B5" w:rsidRPr="00877C7B" w:rsidRDefault="00C055B5" w:rsidP="00877C7B">
      <w:pPr>
        <w:spacing w:after="0" w:line="276" w:lineRule="auto"/>
        <w:ind w:firstLine="720"/>
        <w:jc w:val="both"/>
        <w:rPr>
          <w:rFonts w:cstheme="minorHAnsi"/>
          <w:lang w:val="en-GB"/>
        </w:rPr>
      </w:pPr>
      <w:r w:rsidRPr="00877C7B">
        <w:rPr>
          <w:rFonts w:cstheme="minorHAnsi"/>
          <w:lang w:val="en-GB"/>
        </w:rPr>
        <w:t xml:space="preserve">This explanatory note summarizes the new policy directions, which has been identified during the preparation of 2021 draft State Budget Law package and reflected in different documents (Basic Data and Direction document, program budget annex) under the Ministry of Economy and Sustainable Development, Ministry of Internally Displaced Persons, Labour, Health and Social Affairs, Ministry of Education, Science, Culture and Sport.  </w:t>
      </w:r>
    </w:p>
    <w:p w:rsidR="00C055B5" w:rsidRDefault="00C055B5" w:rsidP="00C055B5">
      <w:pPr>
        <w:spacing w:after="0"/>
        <w:ind w:firstLine="720"/>
        <w:jc w:val="both"/>
        <w:rPr>
          <w:rFonts w:cstheme="minorHAnsi"/>
          <w:lang w:val="en-GB"/>
        </w:rPr>
      </w:pPr>
    </w:p>
    <w:p w:rsidR="00877C7B" w:rsidRDefault="00877C7B" w:rsidP="00C055B5">
      <w:pPr>
        <w:spacing w:after="0"/>
        <w:ind w:firstLine="720"/>
        <w:jc w:val="both"/>
        <w:rPr>
          <w:rFonts w:cstheme="minorHAnsi"/>
          <w:lang w:val="en-GB"/>
        </w:rPr>
      </w:pPr>
    </w:p>
    <w:p w:rsidR="00877C7B" w:rsidRPr="00877C7B" w:rsidRDefault="00877C7B" w:rsidP="00C055B5">
      <w:pPr>
        <w:spacing w:after="0"/>
        <w:ind w:firstLine="720"/>
        <w:jc w:val="both"/>
        <w:rPr>
          <w:rFonts w:cstheme="minorHAnsi"/>
          <w:lang w:val="en-GB"/>
        </w:rPr>
      </w:pPr>
    </w:p>
    <w:p w:rsidR="00C055B5" w:rsidRPr="00877C7B" w:rsidRDefault="003C31A8" w:rsidP="00C055B5">
      <w:pPr>
        <w:pStyle w:val="Heading2"/>
        <w:ind w:firstLine="720"/>
        <w:rPr>
          <w:rFonts w:asciiTheme="minorHAnsi" w:hAnsiTheme="minorHAnsi" w:cstheme="minorHAnsi"/>
          <w:b/>
          <w:lang w:val="en-GB"/>
        </w:rPr>
      </w:pPr>
      <w:bookmarkStart w:id="7" w:name="_Toc58952849"/>
      <w:r w:rsidRPr="00877C7B">
        <w:rPr>
          <w:rFonts w:asciiTheme="minorHAnsi" w:hAnsiTheme="minorHAnsi" w:cstheme="minorHAnsi"/>
          <w:b/>
          <w:lang w:val="en-GB"/>
        </w:rPr>
        <w:t>2</w:t>
      </w:r>
      <w:r w:rsidR="00C055B5" w:rsidRPr="00877C7B">
        <w:rPr>
          <w:rFonts w:asciiTheme="minorHAnsi" w:hAnsiTheme="minorHAnsi" w:cstheme="minorHAnsi"/>
          <w:b/>
          <w:lang w:val="en-GB"/>
        </w:rPr>
        <w:t>.1 New Policy Directions</w:t>
      </w:r>
      <w:bookmarkEnd w:id="7"/>
    </w:p>
    <w:p w:rsidR="003C31A8" w:rsidRPr="00877C7B" w:rsidRDefault="003C31A8" w:rsidP="003C31A8">
      <w:pPr>
        <w:rPr>
          <w:rFonts w:cstheme="minorHAnsi"/>
          <w:lang w:val="en-GB"/>
        </w:rPr>
      </w:pPr>
    </w:p>
    <w:p w:rsidR="00C055B5" w:rsidRPr="00877C7B" w:rsidRDefault="00C055B5" w:rsidP="00A146F5">
      <w:pPr>
        <w:pStyle w:val="Heading3"/>
        <w:ind w:firstLine="360"/>
        <w:rPr>
          <w:rFonts w:asciiTheme="minorHAnsi" w:hAnsiTheme="minorHAnsi" w:cstheme="minorHAnsi"/>
          <w:lang w:val="en-GB"/>
        </w:rPr>
      </w:pPr>
      <w:bookmarkStart w:id="8" w:name="_Toc58952850"/>
      <w:r w:rsidRPr="00877C7B">
        <w:rPr>
          <w:rFonts w:asciiTheme="minorHAnsi" w:hAnsiTheme="minorHAnsi" w:cstheme="minorHAnsi"/>
          <w:lang w:val="en-GB"/>
        </w:rPr>
        <w:t>Credit Guarantee Scheme</w:t>
      </w:r>
      <w:bookmarkEnd w:id="8"/>
      <w:r w:rsidRPr="00877C7B">
        <w:rPr>
          <w:rFonts w:asciiTheme="minorHAnsi" w:hAnsiTheme="minorHAnsi" w:cstheme="minorHAnsi"/>
          <w:lang w:val="en-GB"/>
        </w:rPr>
        <w:t xml:space="preserve"> </w:t>
      </w:r>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Economy and Sustainable Development of Georgia</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Entrepreneurship Development program</w:t>
      </w:r>
    </w:p>
    <w:p w:rsidR="00C055B5" w:rsidRPr="00877C7B" w:rsidRDefault="00C055B5" w:rsidP="00C055B5">
      <w:pPr>
        <w:spacing w:after="0"/>
        <w:ind w:firstLine="360"/>
        <w:jc w:val="both"/>
        <w:rPr>
          <w:rFonts w:cstheme="minorHAnsi"/>
          <w:lang w:val="en-GB"/>
        </w:rPr>
      </w:pPr>
      <w:r w:rsidRPr="00877C7B">
        <w:rPr>
          <w:rFonts w:cstheme="minorHAnsi"/>
          <w:b/>
          <w:lang w:val="en-GB"/>
        </w:rPr>
        <w:t>Program code</w:t>
      </w:r>
      <w:r w:rsidRPr="00877C7B">
        <w:rPr>
          <w:rFonts w:cstheme="minorHAnsi"/>
          <w:lang w:val="en-GB"/>
        </w:rPr>
        <w:t xml:space="preserve"> – 24 07</w:t>
      </w:r>
    </w:p>
    <w:p w:rsidR="00C055B5" w:rsidRPr="00877C7B" w:rsidRDefault="00C055B5" w:rsidP="00877C7B">
      <w:pPr>
        <w:spacing w:after="0" w:line="276" w:lineRule="auto"/>
        <w:ind w:firstLine="360"/>
        <w:jc w:val="both"/>
        <w:rPr>
          <w:rFonts w:cstheme="minorHAnsi"/>
        </w:rPr>
      </w:pPr>
      <w:r w:rsidRPr="00877C7B">
        <w:rPr>
          <w:rFonts w:cstheme="minorHAnsi"/>
          <w:lang w:val="ka-GE"/>
        </w:rPr>
        <w:t>The program was developed in response to the crisis caused by the new coronavirus (COVID-19) to improve access to finance for small and medium-sized businesses and to facilitate additional lending to the economy.</w:t>
      </w:r>
      <w:r w:rsidRPr="00877C7B">
        <w:rPr>
          <w:rFonts w:cstheme="minorHAnsi"/>
          <w:color w:val="FF0000"/>
          <w:lang w:val="en-GB"/>
        </w:rPr>
        <w:t xml:space="preserve"> </w:t>
      </w:r>
      <w:r w:rsidRPr="00877C7B">
        <w:rPr>
          <w:rFonts w:cstheme="minorHAnsi"/>
        </w:rPr>
        <w:t>The Credit Guarantee Scheme is an important component of economic support package as policy responses to COVID-19 spread in many countries, for viable small and medium-sized enterprises (with a turnover of less than 20 million GEL) to restructure a loan or new borrowing. The scheme includes financing of working capital in order to improve accessibility of those enterprises, which do not have sufficient guarantee to borrow under existing credit policies or operate in a sector or market that is subject to particularly high risk in the banking sector.</w:t>
      </w:r>
    </w:p>
    <w:p w:rsidR="00C055B5" w:rsidRPr="00877C7B" w:rsidRDefault="00C055B5" w:rsidP="00C055B5">
      <w:pPr>
        <w:spacing w:after="0" w:line="240" w:lineRule="auto"/>
        <w:ind w:firstLine="360"/>
        <w:jc w:val="both"/>
        <w:rPr>
          <w:rFonts w:cstheme="minorHAnsi"/>
          <w:color w:val="FF0000"/>
          <w:lang w:val="en-GB"/>
        </w:rPr>
      </w:pPr>
    </w:p>
    <w:p w:rsidR="00C055B5" w:rsidRPr="00877C7B" w:rsidRDefault="00C055B5" w:rsidP="00A146F5">
      <w:pPr>
        <w:pStyle w:val="Heading3"/>
        <w:ind w:firstLine="360"/>
        <w:rPr>
          <w:rFonts w:asciiTheme="minorHAnsi" w:hAnsiTheme="minorHAnsi" w:cstheme="minorHAnsi"/>
          <w:lang w:val="en-GB"/>
        </w:rPr>
      </w:pPr>
      <w:bookmarkStart w:id="9" w:name="_Toc58952851"/>
      <w:r w:rsidRPr="00877C7B">
        <w:rPr>
          <w:rFonts w:asciiTheme="minorHAnsi" w:hAnsiTheme="minorHAnsi" w:cstheme="minorHAnsi"/>
          <w:lang w:val="en-GB"/>
        </w:rPr>
        <w:t>Support for the Development Sector</w:t>
      </w:r>
      <w:bookmarkEnd w:id="9"/>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Economy and Sustainable Development of Georgia</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Entrepreneurship Development program</w:t>
      </w:r>
    </w:p>
    <w:p w:rsidR="00C055B5" w:rsidRPr="00877C7B" w:rsidRDefault="00C055B5" w:rsidP="00C055B5">
      <w:pPr>
        <w:ind w:firstLine="360"/>
        <w:jc w:val="both"/>
        <w:rPr>
          <w:rFonts w:cstheme="minorHAnsi"/>
          <w:lang w:val="en-GB"/>
        </w:rPr>
      </w:pPr>
      <w:r w:rsidRPr="00877C7B">
        <w:rPr>
          <w:rFonts w:cstheme="minorHAnsi"/>
          <w:b/>
          <w:lang w:val="en-GB"/>
        </w:rPr>
        <w:t>Program code</w:t>
      </w:r>
      <w:r w:rsidRPr="00877C7B">
        <w:rPr>
          <w:rFonts w:cstheme="minorHAnsi"/>
          <w:lang w:val="en-GB"/>
        </w:rPr>
        <w:t xml:space="preserve"> – 24 07</w:t>
      </w:r>
    </w:p>
    <w:p w:rsidR="00C055B5" w:rsidRPr="00877C7B" w:rsidRDefault="00C055B5" w:rsidP="00877C7B">
      <w:pPr>
        <w:spacing w:after="0" w:line="276" w:lineRule="auto"/>
        <w:ind w:firstLine="360"/>
        <w:jc w:val="both"/>
        <w:rPr>
          <w:rFonts w:cstheme="minorHAnsi"/>
          <w:lang w:val="en-GB"/>
        </w:rPr>
      </w:pPr>
      <w:r w:rsidRPr="00877C7B">
        <w:rPr>
          <w:rFonts w:cstheme="minorHAnsi"/>
          <w:lang w:val="ka-GE"/>
        </w:rPr>
        <w:t xml:space="preserve">The program was developed </w:t>
      </w:r>
      <w:r w:rsidRPr="00877C7B">
        <w:rPr>
          <w:rFonts w:cstheme="minorHAnsi"/>
          <w:lang w:val="en-GB"/>
        </w:rPr>
        <w:t>to</w:t>
      </w:r>
      <w:r w:rsidRPr="00877C7B">
        <w:rPr>
          <w:rFonts w:cstheme="minorHAnsi"/>
          <w:lang w:val="ka-GE"/>
        </w:rPr>
        <w:t xml:space="preserve"> response the New Coronavirus (COVID-19) crisis as part of the plan for </w:t>
      </w:r>
      <w:r w:rsidRPr="00877C7B">
        <w:rPr>
          <w:rFonts w:cstheme="minorHAnsi"/>
          <w:lang w:val="en-GB"/>
        </w:rPr>
        <w:t xml:space="preserve">Supporting </w:t>
      </w:r>
      <w:r w:rsidRPr="00877C7B">
        <w:rPr>
          <w:rFonts w:cstheme="minorHAnsi"/>
          <w:lang w:val="ka-GE"/>
        </w:rPr>
        <w:t xml:space="preserve">Development/Construction Sector. </w:t>
      </w:r>
      <w:r w:rsidRPr="00877C7B">
        <w:rPr>
          <w:rFonts w:cstheme="minorHAnsi"/>
          <w:lang w:val="en-GB"/>
        </w:rPr>
        <w:t xml:space="preserve">The program </w:t>
      </w:r>
      <w:r w:rsidRPr="00877C7B">
        <w:rPr>
          <w:rFonts w:cstheme="minorHAnsi"/>
          <w:lang w:val="ka-GE"/>
        </w:rPr>
        <w:t>involves the</w:t>
      </w:r>
      <w:r w:rsidRPr="00877C7B">
        <w:rPr>
          <w:rFonts w:cstheme="minorHAnsi"/>
          <w:lang w:val="en-GB"/>
        </w:rPr>
        <w:t xml:space="preserve"> mortgage subsidies and </w:t>
      </w:r>
      <w:r w:rsidRPr="00877C7B">
        <w:rPr>
          <w:rFonts w:cstheme="minorHAnsi"/>
          <w:lang w:val="ka-GE"/>
        </w:rPr>
        <w:t xml:space="preserve">implementation guarantee programs to address challenges in the sector, which in turn include </w:t>
      </w:r>
      <w:r w:rsidRPr="00877C7B">
        <w:rPr>
          <w:rFonts w:cstheme="minorHAnsi"/>
          <w:lang w:val="en-GB"/>
        </w:rPr>
        <w:t>declined sales of residential units</w:t>
      </w:r>
      <w:r w:rsidRPr="00877C7B">
        <w:rPr>
          <w:rFonts w:cstheme="minorHAnsi"/>
          <w:lang w:val="ka-GE"/>
        </w:rPr>
        <w:t xml:space="preserve">, increased risks </w:t>
      </w:r>
      <w:r w:rsidRPr="00877C7B">
        <w:rPr>
          <w:rFonts w:cstheme="minorHAnsi"/>
          <w:lang w:val="en-GB"/>
        </w:rPr>
        <w:t xml:space="preserve">regarding construction </w:t>
      </w:r>
      <w:r w:rsidRPr="00877C7B">
        <w:rPr>
          <w:rFonts w:cstheme="minorHAnsi"/>
          <w:lang w:val="ka-GE"/>
        </w:rPr>
        <w:t xml:space="preserve">completion, </w:t>
      </w:r>
      <w:r w:rsidRPr="00877C7B">
        <w:rPr>
          <w:rFonts w:cstheme="minorHAnsi"/>
          <w:lang w:val="en-GB"/>
        </w:rPr>
        <w:t xml:space="preserve">potential </w:t>
      </w:r>
      <w:r w:rsidRPr="00877C7B">
        <w:rPr>
          <w:rFonts w:cstheme="minorHAnsi"/>
          <w:lang w:val="ka-GE"/>
        </w:rPr>
        <w:t>price fluctuations</w:t>
      </w:r>
      <w:r w:rsidRPr="00877C7B">
        <w:rPr>
          <w:rFonts w:cstheme="minorHAnsi"/>
          <w:lang w:val="en-GB"/>
        </w:rPr>
        <w:t xml:space="preserve"> on residential units</w:t>
      </w:r>
      <w:r w:rsidRPr="00877C7B">
        <w:rPr>
          <w:rFonts w:cstheme="minorHAnsi"/>
          <w:lang w:val="ka-GE"/>
        </w:rPr>
        <w:t xml:space="preserve"> and </w:t>
      </w:r>
      <w:r w:rsidRPr="00877C7B">
        <w:rPr>
          <w:rFonts w:cstheme="minorHAnsi"/>
          <w:lang w:val="en-GB"/>
        </w:rPr>
        <w:t xml:space="preserve">reduce </w:t>
      </w:r>
      <w:r w:rsidRPr="00877C7B">
        <w:rPr>
          <w:rFonts w:cstheme="minorHAnsi"/>
          <w:lang w:val="ka-GE"/>
        </w:rPr>
        <w:t>access to finance</w:t>
      </w:r>
      <w:r w:rsidRPr="00877C7B">
        <w:rPr>
          <w:rFonts w:cstheme="minorHAnsi"/>
          <w:lang w:val="en-GB"/>
        </w:rPr>
        <w:t xml:space="preserve"> by development companies</w:t>
      </w:r>
      <w:r w:rsidRPr="00877C7B">
        <w:rPr>
          <w:rFonts w:cstheme="minorHAnsi"/>
          <w:lang w:val="ka-GE"/>
        </w:rPr>
        <w:t xml:space="preserve">. </w:t>
      </w:r>
      <w:r w:rsidRPr="00877C7B">
        <w:rPr>
          <w:rFonts w:cstheme="minorHAnsi"/>
          <w:lang w:val="en-GB"/>
        </w:rPr>
        <w:t>The state will subsidize 4% of interest accrued on mortgage loans for 5 years from the disbursement of the loan in June-December 2020.  The state will underwrite 20% of the loan disbursed in June-December 2020 for 5 years with a co-participation of no less than 10%.</w:t>
      </w:r>
    </w:p>
    <w:p w:rsidR="00C055B5" w:rsidRPr="00877C7B" w:rsidRDefault="00C055B5" w:rsidP="00C055B5">
      <w:pPr>
        <w:spacing w:after="0" w:line="240" w:lineRule="auto"/>
        <w:jc w:val="both"/>
        <w:rPr>
          <w:rFonts w:cstheme="minorHAnsi"/>
          <w:lang w:val="ka-GE" w:eastAsia="en-GB"/>
        </w:rPr>
      </w:pPr>
    </w:p>
    <w:p w:rsidR="00C055B5" w:rsidRPr="00877C7B" w:rsidRDefault="00C055B5" w:rsidP="00A146F5">
      <w:pPr>
        <w:pStyle w:val="Heading3"/>
        <w:ind w:firstLine="360"/>
        <w:rPr>
          <w:rFonts w:asciiTheme="minorHAnsi" w:hAnsiTheme="minorHAnsi" w:cstheme="minorHAnsi"/>
          <w:lang w:val="en-GB"/>
        </w:rPr>
      </w:pPr>
      <w:bookmarkStart w:id="10" w:name="_Toc58952852"/>
      <w:r w:rsidRPr="00877C7B">
        <w:rPr>
          <w:rFonts w:asciiTheme="minorHAnsi" w:hAnsiTheme="minorHAnsi" w:cstheme="minorHAnsi"/>
          <w:lang w:val="en-GB"/>
        </w:rPr>
        <w:t>New policy Direction in pension policy – Pension Indexation</w:t>
      </w:r>
      <w:bookmarkEnd w:id="10"/>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Internally Displaced Persons, Labour, Health and Social Affairs of Georgia</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Social Security of the population</w:t>
      </w:r>
    </w:p>
    <w:p w:rsidR="00C055B5" w:rsidRPr="00877C7B" w:rsidRDefault="00C055B5" w:rsidP="00C055B5">
      <w:pPr>
        <w:spacing w:after="0"/>
        <w:ind w:firstLine="360"/>
        <w:jc w:val="both"/>
        <w:rPr>
          <w:rFonts w:cstheme="minorHAnsi"/>
          <w:lang w:val="en-GB"/>
        </w:rPr>
      </w:pPr>
      <w:r w:rsidRPr="00877C7B">
        <w:rPr>
          <w:rFonts w:cstheme="minorHAnsi"/>
          <w:b/>
          <w:lang w:val="en-GB"/>
        </w:rPr>
        <w:t>Program code</w:t>
      </w:r>
      <w:r w:rsidRPr="00877C7B">
        <w:rPr>
          <w:rFonts w:cstheme="minorHAnsi"/>
          <w:lang w:val="en-GB"/>
        </w:rPr>
        <w:t xml:space="preserve"> – 27 02</w:t>
      </w:r>
    </w:p>
    <w:p w:rsidR="00C055B5" w:rsidRPr="00877C7B" w:rsidRDefault="00C055B5" w:rsidP="00877C7B">
      <w:pPr>
        <w:spacing w:after="0" w:line="276" w:lineRule="auto"/>
        <w:ind w:firstLine="360"/>
        <w:jc w:val="both"/>
        <w:rPr>
          <w:rFonts w:cstheme="minorHAnsi"/>
          <w:lang w:val="en-GB"/>
        </w:rPr>
      </w:pPr>
      <w:r w:rsidRPr="00877C7B">
        <w:rPr>
          <w:rFonts w:cstheme="minorHAnsi"/>
          <w:lang w:val="ka-GE"/>
        </w:rPr>
        <w:t xml:space="preserve">In order to ensure adequate financing of social guarantees for the population of retirement age and at the same time fiscal policy sustainability, </w:t>
      </w:r>
      <w:r w:rsidRPr="00877C7B">
        <w:rPr>
          <w:rFonts w:cstheme="minorHAnsi"/>
          <w:lang w:val="en-GB"/>
        </w:rPr>
        <w:t>according to the law on “</w:t>
      </w:r>
      <w:r w:rsidRPr="00877C7B">
        <w:rPr>
          <w:rFonts w:cstheme="minorHAnsi"/>
          <w:lang w:val="ka-GE"/>
        </w:rPr>
        <w:t>Accumulative Pensions</w:t>
      </w:r>
      <w:r w:rsidRPr="00877C7B">
        <w:rPr>
          <w:rFonts w:cstheme="minorHAnsi"/>
          <w:lang w:val="en-GB"/>
        </w:rPr>
        <w:t xml:space="preserve">” and the law on “State Pensions”, pension indexation has been introduced. The pensions of all pensioners will increase by no less than the rate of inflation from January 1, 2021.  Pension growth will be no less than 20 GEL for pensioners under 70 and </w:t>
      </w:r>
      <w:r w:rsidRPr="00877C7B">
        <w:rPr>
          <w:rFonts w:cstheme="minorHAnsi"/>
          <w:lang w:val="ka-GE"/>
        </w:rPr>
        <w:t xml:space="preserve">averaging 80% of the average GDP growth rate for the last 12 months and real GDP growth in the last 6 quarters, but not less than 25 </w:t>
      </w:r>
      <w:r w:rsidRPr="00877C7B">
        <w:rPr>
          <w:rFonts w:cstheme="minorHAnsi"/>
          <w:lang w:val="en-GB"/>
        </w:rPr>
        <w:t>GEL</w:t>
      </w:r>
      <w:r w:rsidRPr="00877C7B">
        <w:rPr>
          <w:rFonts w:cstheme="minorHAnsi"/>
          <w:lang w:val="ka-GE"/>
        </w:rPr>
        <w:t xml:space="preserve"> </w:t>
      </w:r>
      <w:r w:rsidRPr="00877C7B">
        <w:rPr>
          <w:rFonts w:cstheme="minorHAnsi"/>
          <w:lang w:val="en-GB"/>
        </w:rPr>
        <w:t>for pensioners aged 70 and older.</w:t>
      </w:r>
    </w:p>
    <w:p w:rsidR="008A1D1D" w:rsidRPr="00877C7B" w:rsidRDefault="008A1D1D" w:rsidP="00877C7B">
      <w:pPr>
        <w:spacing w:after="0" w:line="276" w:lineRule="auto"/>
        <w:jc w:val="both"/>
        <w:rPr>
          <w:rFonts w:cstheme="minorHAnsi"/>
          <w:lang w:val="en-GB"/>
        </w:rPr>
      </w:pPr>
    </w:p>
    <w:p w:rsidR="00C055B5" w:rsidRPr="00877C7B" w:rsidRDefault="00C055B5" w:rsidP="00877C7B">
      <w:pPr>
        <w:spacing w:after="0" w:line="276" w:lineRule="auto"/>
        <w:jc w:val="both"/>
        <w:rPr>
          <w:rFonts w:cstheme="minorHAnsi"/>
          <w:lang w:val="ka-GE"/>
        </w:rPr>
      </w:pPr>
      <w:r w:rsidRPr="00877C7B">
        <w:rPr>
          <w:rFonts w:cstheme="minorHAnsi"/>
          <w:lang w:val="en-GB"/>
        </w:rPr>
        <w:t>By the end of the medium-term period, the state pension is determined:</w:t>
      </w:r>
    </w:p>
    <w:p w:rsidR="00C055B5" w:rsidRPr="00877C7B" w:rsidRDefault="00C055B5" w:rsidP="00877C7B">
      <w:pPr>
        <w:pStyle w:val="ListParagraph"/>
        <w:numPr>
          <w:ilvl w:val="0"/>
          <w:numId w:val="10"/>
        </w:numPr>
        <w:spacing w:line="276" w:lineRule="auto"/>
        <w:rPr>
          <w:rFonts w:cstheme="minorHAnsi"/>
          <w:lang w:val="ka-GE"/>
        </w:rPr>
      </w:pPr>
      <w:r w:rsidRPr="00877C7B">
        <w:rPr>
          <w:rFonts w:cstheme="minorHAnsi"/>
          <w:lang w:val="en-GB"/>
        </w:rPr>
        <w:t>No</w:t>
      </w:r>
      <w:r w:rsidRPr="00877C7B">
        <w:rPr>
          <w:rFonts w:cstheme="minorHAnsi"/>
          <w:lang w:val="ka-GE"/>
        </w:rPr>
        <w:t xml:space="preserve"> less than 300 GEL</w:t>
      </w:r>
      <w:r w:rsidRPr="00877C7B">
        <w:rPr>
          <w:rFonts w:cstheme="minorHAnsi"/>
          <w:lang w:val="en-GB"/>
        </w:rPr>
        <w:t xml:space="preserve"> f</w:t>
      </w:r>
      <w:r w:rsidRPr="00877C7B">
        <w:rPr>
          <w:rFonts w:cstheme="minorHAnsi"/>
          <w:lang w:val="ka-GE"/>
        </w:rPr>
        <w:t>or pensioners under 70 years of age;</w:t>
      </w:r>
    </w:p>
    <w:p w:rsidR="00C055B5" w:rsidRPr="00877C7B" w:rsidRDefault="00C055B5" w:rsidP="00877C7B">
      <w:pPr>
        <w:pStyle w:val="ListParagraph"/>
        <w:numPr>
          <w:ilvl w:val="0"/>
          <w:numId w:val="10"/>
        </w:numPr>
        <w:spacing w:line="276" w:lineRule="auto"/>
        <w:rPr>
          <w:rFonts w:cstheme="minorHAnsi"/>
          <w:lang w:val="ka-GE"/>
        </w:rPr>
      </w:pPr>
      <w:r w:rsidRPr="00877C7B">
        <w:rPr>
          <w:rFonts w:cstheme="minorHAnsi"/>
          <w:lang w:val="en-GB"/>
        </w:rPr>
        <w:t>No</w:t>
      </w:r>
      <w:r w:rsidRPr="00877C7B">
        <w:rPr>
          <w:rFonts w:cstheme="minorHAnsi"/>
          <w:lang w:val="ka-GE"/>
        </w:rPr>
        <w:t xml:space="preserve"> less than 3</w:t>
      </w:r>
      <w:r w:rsidRPr="00877C7B">
        <w:rPr>
          <w:rFonts w:cstheme="minorHAnsi"/>
          <w:lang w:val="en-GB"/>
        </w:rPr>
        <w:t>50</w:t>
      </w:r>
      <w:r w:rsidRPr="00877C7B">
        <w:rPr>
          <w:rFonts w:cstheme="minorHAnsi"/>
          <w:lang w:val="ka-GE"/>
        </w:rPr>
        <w:t xml:space="preserve"> GEL </w:t>
      </w:r>
      <w:r w:rsidRPr="00877C7B">
        <w:rPr>
          <w:rFonts w:cstheme="minorHAnsi"/>
          <w:lang w:val="en-GB"/>
        </w:rPr>
        <w:t>f</w:t>
      </w:r>
      <w:r w:rsidRPr="00877C7B">
        <w:rPr>
          <w:rFonts w:cstheme="minorHAnsi"/>
          <w:lang w:val="ka-GE"/>
        </w:rPr>
        <w:t xml:space="preserve">or pensioners aged 70 and </w:t>
      </w:r>
      <w:r w:rsidRPr="00877C7B">
        <w:rPr>
          <w:rFonts w:cstheme="minorHAnsi"/>
          <w:lang w:val="en-GB"/>
        </w:rPr>
        <w:t>older.</w:t>
      </w:r>
      <w:r w:rsidRPr="00877C7B">
        <w:rPr>
          <w:rFonts w:cstheme="minorHAnsi"/>
          <w:lang w:val="ka-GE"/>
        </w:rPr>
        <w:t xml:space="preserve"> </w:t>
      </w:r>
    </w:p>
    <w:p w:rsidR="00C055B5" w:rsidRPr="00877C7B" w:rsidRDefault="00C055B5" w:rsidP="00A146F5">
      <w:pPr>
        <w:pStyle w:val="Heading3"/>
        <w:ind w:firstLine="360"/>
        <w:rPr>
          <w:rFonts w:asciiTheme="minorHAnsi" w:hAnsiTheme="minorHAnsi" w:cstheme="minorHAnsi"/>
          <w:lang w:val="en-GB"/>
        </w:rPr>
      </w:pPr>
      <w:bookmarkStart w:id="11" w:name="_Toc58952853"/>
      <w:r w:rsidRPr="00877C7B">
        <w:rPr>
          <w:rFonts w:asciiTheme="minorHAnsi" w:hAnsiTheme="minorHAnsi" w:cstheme="minorHAnsi"/>
          <w:lang w:val="en-GB"/>
        </w:rPr>
        <w:t>New direction in the provision of primary and emergency medical care</w:t>
      </w:r>
      <w:bookmarkEnd w:id="11"/>
      <w:r w:rsidRPr="00877C7B">
        <w:rPr>
          <w:rFonts w:asciiTheme="minorHAnsi" w:hAnsiTheme="minorHAnsi" w:cstheme="minorHAnsi"/>
          <w:lang w:val="en-GB"/>
        </w:rPr>
        <w:t xml:space="preserve"> </w:t>
      </w:r>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Internally Displaced Persons, Labour, Health and Social Affairs</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Health Care of the Population</w:t>
      </w:r>
    </w:p>
    <w:p w:rsidR="00C055B5" w:rsidRPr="00877C7B" w:rsidRDefault="00C055B5" w:rsidP="00C055B5">
      <w:pPr>
        <w:spacing w:after="0"/>
        <w:ind w:firstLine="360"/>
        <w:jc w:val="both"/>
        <w:rPr>
          <w:rFonts w:cstheme="minorHAnsi"/>
          <w:lang w:val="en-GB"/>
        </w:rPr>
      </w:pPr>
      <w:r w:rsidRPr="00877C7B">
        <w:rPr>
          <w:rFonts w:cstheme="minorHAnsi"/>
          <w:b/>
          <w:lang w:val="en-GB"/>
        </w:rPr>
        <w:t>Program code</w:t>
      </w:r>
      <w:r w:rsidRPr="00877C7B">
        <w:rPr>
          <w:rFonts w:cstheme="minorHAnsi"/>
          <w:lang w:val="en-GB"/>
        </w:rPr>
        <w:t xml:space="preserve"> – 27 03</w:t>
      </w:r>
    </w:p>
    <w:p w:rsidR="00C055B5" w:rsidRPr="00877C7B" w:rsidRDefault="00C055B5" w:rsidP="00877C7B">
      <w:pPr>
        <w:spacing w:line="276" w:lineRule="auto"/>
        <w:ind w:firstLine="360"/>
        <w:jc w:val="both"/>
        <w:rPr>
          <w:rFonts w:cstheme="minorHAnsi"/>
          <w:lang w:val="ka-GE"/>
        </w:rPr>
      </w:pPr>
      <w:r w:rsidRPr="00877C7B">
        <w:rPr>
          <w:rFonts w:cstheme="minorHAnsi"/>
          <w:lang w:val="ka-GE"/>
        </w:rPr>
        <w:t xml:space="preserve">From 2021, co-financing of medical insurance for </w:t>
      </w:r>
      <w:r w:rsidRPr="00877C7B">
        <w:rPr>
          <w:rFonts w:cstheme="minorHAnsi"/>
          <w:lang w:val="en-GB"/>
        </w:rPr>
        <w:t>emergency</w:t>
      </w:r>
      <w:r w:rsidRPr="00877C7B">
        <w:rPr>
          <w:rFonts w:cstheme="minorHAnsi"/>
          <w:lang w:val="ka-GE"/>
        </w:rPr>
        <w:t xml:space="preserve"> crews (4,500 employees) and rural doctors/nurses (3,000 village doctors/nurses) will start (in the amount of 25 GEL).</w:t>
      </w:r>
    </w:p>
    <w:p w:rsidR="00A146F5" w:rsidRPr="00877C7B" w:rsidRDefault="00A146F5" w:rsidP="00C055B5">
      <w:pPr>
        <w:spacing w:line="240" w:lineRule="auto"/>
        <w:ind w:firstLine="360"/>
        <w:jc w:val="both"/>
        <w:rPr>
          <w:rFonts w:cstheme="minorHAnsi"/>
          <w:lang w:val="ka-GE"/>
        </w:rPr>
      </w:pPr>
    </w:p>
    <w:p w:rsidR="00C055B5" w:rsidRPr="00877C7B" w:rsidRDefault="00C055B5" w:rsidP="00A146F5">
      <w:pPr>
        <w:pStyle w:val="Heading3"/>
        <w:ind w:firstLine="360"/>
        <w:rPr>
          <w:rFonts w:asciiTheme="minorHAnsi" w:hAnsiTheme="minorHAnsi" w:cstheme="minorHAnsi"/>
          <w:lang w:val="en-GB"/>
        </w:rPr>
      </w:pPr>
      <w:bookmarkStart w:id="12" w:name="_Toc58952854"/>
      <w:r w:rsidRPr="00877C7B">
        <w:rPr>
          <w:rFonts w:asciiTheme="minorHAnsi" w:hAnsiTheme="minorHAnsi" w:cstheme="minorHAnsi"/>
          <w:lang w:val="en-GB"/>
        </w:rPr>
        <w:t>New direction of Safety working conditions policy</w:t>
      </w:r>
      <w:bookmarkEnd w:id="12"/>
    </w:p>
    <w:p w:rsidR="00C055B5" w:rsidRPr="00877C7B" w:rsidRDefault="00C055B5" w:rsidP="00C055B5">
      <w:pPr>
        <w:pStyle w:val="ListParagraph"/>
        <w:spacing w:after="0" w:line="240" w:lineRule="auto"/>
        <w:jc w:val="both"/>
        <w:rPr>
          <w:rFonts w:cstheme="minorHAnsi"/>
          <w:lang w:val="ka-GE"/>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Internally Displaced Persons, Labour, Health and Social Affairs</w:t>
      </w:r>
    </w:p>
    <w:p w:rsidR="00C055B5" w:rsidRPr="00877C7B" w:rsidRDefault="00C055B5" w:rsidP="00C055B5">
      <w:pPr>
        <w:spacing w:after="0" w:line="240" w:lineRule="auto"/>
        <w:ind w:firstLine="360"/>
        <w:jc w:val="both"/>
        <w:rPr>
          <w:rFonts w:cstheme="minorHAnsi"/>
          <w:lang w:val="ka-GE"/>
        </w:rPr>
      </w:pPr>
      <w:r w:rsidRPr="00877C7B">
        <w:rPr>
          <w:rFonts w:cstheme="minorHAnsi"/>
          <w:b/>
          <w:lang w:val="en-GB"/>
        </w:rPr>
        <w:t>Program name</w:t>
      </w:r>
      <w:r w:rsidRPr="00877C7B">
        <w:rPr>
          <w:rFonts w:cstheme="minorHAnsi"/>
          <w:lang w:val="en-GB"/>
        </w:rPr>
        <w:t xml:space="preserve"> – </w:t>
      </w:r>
      <w:r w:rsidRPr="00877C7B">
        <w:rPr>
          <w:rFonts w:cstheme="minorHAnsi"/>
          <w:lang w:val="ka-GE"/>
        </w:rPr>
        <w:t>Labor and Employment System Reform Program</w:t>
      </w:r>
    </w:p>
    <w:p w:rsidR="00C055B5" w:rsidRPr="00877C7B" w:rsidRDefault="00C055B5" w:rsidP="00C055B5">
      <w:pPr>
        <w:spacing w:after="0"/>
        <w:ind w:firstLine="360"/>
        <w:jc w:val="both"/>
        <w:rPr>
          <w:rFonts w:cstheme="minorHAnsi"/>
          <w:lang w:val="en-GB"/>
        </w:rPr>
      </w:pPr>
      <w:r w:rsidRPr="00877C7B">
        <w:rPr>
          <w:rFonts w:cstheme="minorHAnsi"/>
          <w:b/>
          <w:lang w:val="en-GB"/>
        </w:rPr>
        <w:t>Program code</w:t>
      </w:r>
      <w:r w:rsidRPr="00877C7B">
        <w:rPr>
          <w:rFonts w:cstheme="minorHAnsi"/>
          <w:lang w:val="en-GB"/>
        </w:rPr>
        <w:t xml:space="preserve"> – 27 05</w:t>
      </w:r>
    </w:p>
    <w:p w:rsidR="00C055B5" w:rsidRPr="00877C7B" w:rsidRDefault="00C055B5" w:rsidP="00C055B5">
      <w:pPr>
        <w:spacing w:after="0" w:line="240" w:lineRule="auto"/>
        <w:ind w:firstLine="360"/>
        <w:jc w:val="both"/>
        <w:rPr>
          <w:rFonts w:cstheme="minorHAnsi"/>
          <w:lang w:val="ka-GE"/>
        </w:rPr>
      </w:pPr>
    </w:p>
    <w:p w:rsidR="00C055B5" w:rsidRPr="00877C7B" w:rsidRDefault="00C055B5" w:rsidP="00877C7B">
      <w:pPr>
        <w:spacing w:after="0" w:line="276" w:lineRule="auto"/>
        <w:ind w:firstLine="360"/>
        <w:jc w:val="both"/>
        <w:rPr>
          <w:rFonts w:cstheme="minorHAnsi"/>
          <w:lang w:val="en-GB"/>
        </w:rPr>
      </w:pPr>
      <w:r w:rsidRPr="00877C7B">
        <w:rPr>
          <w:rFonts w:cstheme="minorHAnsi"/>
          <w:lang w:val="ka-GE"/>
        </w:rPr>
        <w:t xml:space="preserve">Taking into account the changes made in the labor legislation (the Organic Law of Georgia </w:t>
      </w:r>
      <w:r w:rsidRPr="00877C7B">
        <w:rPr>
          <w:rFonts w:cstheme="minorHAnsi"/>
          <w:lang w:val="en-GB"/>
        </w:rPr>
        <w:t>“</w:t>
      </w:r>
      <w:r w:rsidRPr="00877C7B">
        <w:rPr>
          <w:rFonts w:cstheme="minorHAnsi"/>
          <w:lang w:val="ka-GE"/>
        </w:rPr>
        <w:t>on Labor Safety</w:t>
      </w:r>
      <w:r w:rsidRPr="00877C7B">
        <w:rPr>
          <w:rFonts w:cstheme="minorHAnsi"/>
          <w:lang w:val="en-GB"/>
        </w:rPr>
        <w:t>”</w:t>
      </w:r>
      <w:r w:rsidRPr="00877C7B">
        <w:rPr>
          <w:rFonts w:cstheme="minorHAnsi"/>
          <w:lang w:val="ka-GE"/>
        </w:rPr>
        <w:t xml:space="preserve"> and the Labor Code of Georgia), the Labor Inspection Agency of Georgia is being established to fully perform the functions of labor inspection.</w:t>
      </w:r>
      <w:r w:rsidRPr="00877C7B">
        <w:rPr>
          <w:rFonts w:cstheme="minorHAnsi"/>
          <w:lang w:val="en-GB"/>
        </w:rPr>
        <w:t xml:space="preserve"> The agency ensures the effectiveness of a wide range of labour rights and improves the existing enforcement mechanism. Labour inspection system will be strengthened with establishing the independent and comprehensive labour inspection mechanism and from 2021; the quality of protection of labour rights will be significantly strengthened as well. Relevant inspections will be carried out to prevent discrimination, sexual harassment, labour force exploitation and to ensure gender equality. In the medium term period, it is planned to inspect up to 4,500 facilities in the field of labour safety.</w:t>
      </w:r>
    </w:p>
    <w:p w:rsidR="00C055B5" w:rsidRPr="00877C7B" w:rsidRDefault="00C055B5" w:rsidP="00C055B5">
      <w:pPr>
        <w:spacing w:after="0" w:line="240" w:lineRule="auto"/>
        <w:ind w:firstLine="360"/>
        <w:jc w:val="both"/>
        <w:rPr>
          <w:rFonts w:cstheme="minorHAnsi"/>
          <w:lang w:val="en-GB"/>
        </w:rPr>
      </w:pPr>
    </w:p>
    <w:p w:rsidR="00C055B5" w:rsidRPr="00877C7B" w:rsidRDefault="00C055B5" w:rsidP="00A146F5">
      <w:pPr>
        <w:pStyle w:val="Heading3"/>
        <w:ind w:firstLine="360"/>
        <w:rPr>
          <w:rFonts w:asciiTheme="minorHAnsi" w:hAnsiTheme="minorHAnsi" w:cstheme="minorHAnsi"/>
          <w:lang w:val="en-GB"/>
        </w:rPr>
      </w:pPr>
      <w:bookmarkStart w:id="13" w:name="_Toc58952855"/>
      <w:r w:rsidRPr="00877C7B">
        <w:rPr>
          <w:rFonts w:asciiTheme="minorHAnsi" w:hAnsiTheme="minorHAnsi" w:cstheme="minorHAnsi"/>
          <w:lang w:val="en-GB"/>
        </w:rPr>
        <w:t>New direction of Employment Policy</w:t>
      </w:r>
      <w:bookmarkEnd w:id="13"/>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Internally Displaced Persons, Labour, Health and Social Affairs</w:t>
      </w:r>
    </w:p>
    <w:p w:rsidR="00C055B5" w:rsidRPr="00877C7B" w:rsidRDefault="00C055B5" w:rsidP="00C055B5">
      <w:pPr>
        <w:spacing w:after="0" w:line="240" w:lineRule="auto"/>
        <w:ind w:firstLine="360"/>
        <w:jc w:val="both"/>
        <w:rPr>
          <w:rFonts w:cstheme="minorHAnsi"/>
          <w:lang w:val="ka-GE"/>
        </w:rPr>
      </w:pPr>
      <w:r w:rsidRPr="00877C7B">
        <w:rPr>
          <w:rFonts w:cstheme="minorHAnsi"/>
          <w:b/>
          <w:lang w:val="en-GB"/>
        </w:rPr>
        <w:t>Program name</w:t>
      </w:r>
      <w:r w:rsidRPr="00877C7B">
        <w:rPr>
          <w:rFonts w:cstheme="minorHAnsi"/>
          <w:lang w:val="en-GB"/>
        </w:rPr>
        <w:t xml:space="preserve"> – </w:t>
      </w:r>
      <w:r w:rsidRPr="00877C7B">
        <w:rPr>
          <w:rFonts w:cstheme="minorHAnsi"/>
          <w:lang w:val="ka-GE"/>
        </w:rPr>
        <w:t>Labor and Employment System Reform Program</w:t>
      </w:r>
    </w:p>
    <w:p w:rsidR="00C055B5" w:rsidRPr="00877C7B" w:rsidRDefault="00C055B5" w:rsidP="00C055B5">
      <w:pPr>
        <w:spacing w:after="0" w:line="240" w:lineRule="auto"/>
        <w:ind w:firstLine="360"/>
        <w:jc w:val="both"/>
        <w:rPr>
          <w:rFonts w:cstheme="minorHAnsi"/>
          <w:lang w:val="en-GB"/>
        </w:rPr>
      </w:pPr>
      <w:r w:rsidRPr="00877C7B">
        <w:rPr>
          <w:rFonts w:cstheme="minorHAnsi"/>
          <w:b/>
          <w:lang w:val="en-GB"/>
        </w:rPr>
        <w:t>Program code</w:t>
      </w:r>
      <w:r w:rsidRPr="00877C7B">
        <w:rPr>
          <w:rFonts w:cstheme="minorHAnsi"/>
          <w:lang w:val="en-GB"/>
        </w:rPr>
        <w:t xml:space="preserve"> – 27 05</w:t>
      </w:r>
    </w:p>
    <w:p w:rsidR="00C055B5" w:rsidRPr="00877C7B" w:rsidRDefault="00C055B5" w:rsidP="008A1D1D">
      <w:pPr>
        <w:spacing w:after="0" w:line="240" w:lineRule="auto"/>
        <w:jc w:val="both"/>
        <w:rPr>
          <w:rFonts w:cstheme="minorHAnsi"/>
          <w:lang w:val="ka-GE" w:eastAsia="en-GB"/>
        </w:rPr>
      </w:pPr>
      <w:r w:rsidRPr="00877C7B">
        <w:rPr>
          <w:rFonts w:cstheme="minorHAnsi"/>
          <w:lang w:val="ka-GE"/>
        </w:rPr>
        <w:t xml:space="preserve">In order to ensure the effective implementation of the </w:t>
      </w:r>
      <w:r w:rsidRPr="00877C7B">
        <w:rPr>
          <w:rFonts w:cstheme="minorHAnsi"/>
          <w:lang w:val="en-GB"/>
        </w:rPr>
        <w:t>Government</w:t>
      </w:r>
      <w:r w:rsidRPr="00877C7B">
        <w:rPr>
          <w:rFonts w:cstheme="minorHAnsi"/>
          <w:lang w:val="ka-GE"/>
        </w:rPr>
        <w:t xml:space="preserve"> policy in the </w:t>
      </w:r>
      <w:r w:rsidRPr="00877C7B">
        <w:rPr>
          <w:rFonts w:cstheme="minorHAnsi"/>
          <w:lang w:val="en-GB"/>
        </w:rPr>
        <w:t xml:space="preserve">area </w:t>
      </w:r>
      <w:r w:rsidRPr="00877C7B">
        <w:rPr>
          <w:rFonts w:cstheme="minorHAnsi"/>
          <w:lang w:val="ka-GE"/>
        </w:rPr>
        <w:t>of labo</w:t>
      </w:r>
      <w:r w:rsidRPr="00877C7B">
        <w:rPr>
          <w:rFonts w:cstheme="minorHAnsi"/>
          <w:lang w:val="en-GB"/>
        </w:rPr>
        <w:t>u</w:t>
      </w:r>
      <w:r w:rsidRPr="00877C7B">
        <w:rPr>
          <w:rFonts w:cstheme="minorHAnsi"/>
          <w:lang w:val="ka-GE"/>
        </w:rPr>
        <w:t xml:space="preserve">r and employment and active labor market policy and employment promotion service mechanisms in the country, the State Agency for Employment </w:t>
      </w:r>
      <w:r w:rsidRPr="00877C7B">
        <w:rPr>
          <w:rFonts w:cstheme="minorHAnsi"/>
          <w:lang w:val="en-GB"/>
        </w:rPr>
        <w:t>Support is</w:t>
      </w:r>
      <w:r w:rsidRPr="00877C7B">
        <w:rPr>
          <w:rFonts w:cstheme="minorHAnsi"/>
          <w:lang w:val="ka-GE"/>
        </w:rPr>
        <w:t xml:space="preserve"> being established.</w:t>
      </w:r>
      <w:r w:rsidRPr="00877C7B">
        <w:rPr>
          <w:rFonts w:cstheme="minorHAnsi"/>
          <w:lang w:val="en-GB" w:eastAsia="en-GB"/>
        </w:rPr>
        <w:t>T</w:t>
      </w:r>
      <w:r w:rsidRPr="00877C7B">
        <w:rPr>
          <w:rFonts w:cstheme="minorHAnsi"/>
          <w:lang w:val="ka-GE" w:eastAsia="en-GB"/>
        </w:rPr>
        <w:t>he</w:t>
      </w:r>
      <w:r w:rsidRPr="00877C7B">
        <w:rPr>
          <w:rFonts w:cstheme="minorHAnsi"/>
          <w:lang w:val="en-GB" w:eastAsia="en-GB"/>
        </w:rPr>
        <w:t xml:space="preserve"> agency will ensure the connection between the job seeker and the business on the one hand and on the other hand will actively support the matching of business requirements in the country and the qualification of job seekers. This will support to increase the number of people employed and the quality of business as well as creation of new jobs. The agency will t</w:t>
      </w:r>
      <w:r w:rsidRPr="00877C7B">
        <w:rPr>
          <w:rFonts w:cstheme="minorHAnsi"/>
          <w:lang w:val="ka-GE" w:eastAsia="en-GB"/>
        </w:rPr>
        <w:t xml:space="preserve">ake employment-promoting </w:t>
      </w:r>
      <w:r w:rsidRPr="00877C7B">
        <w:rPr>
          <w:rFonts w:cstheme="minorHAnsi"/>
          <w:lang w:val="en-GB" w:eastAsia="en-GB"/>
        </w:rPr>
        <w:t>activities</w:t>
      </w:r>
      <w:r w:rsidRPr="00877C7B">
        <w:rPr>
          <w:rFonts w:cstheme="minorHAnsi"/>
          <w:lang w:val="ka-GE" w:eastAsia="en-GB"/>
        </w:rPr>
        <w:t xml:space="preserve"> to effectively stimulate the labor market, which has a positive impact on the well-being of citizens and the pace of economic growth.</w:t>
      </w:r>
    </w:p>
    <w:p w:rsidR="00C055B5" w:rsidRPr="00877C7B" w:rsidRDefault="00C055B5" w:rsidP="00C055B5">
      <w:pPr>
        <w:spacing w:after="0" w:line="240" w:lineRule="auto"/>
        <w:ind w:firstLine="360"/>
        <w:jc w:val="both"/>
        <w:rPr>
          <w:rFonts w:cstheme="minorHAnsi"/>
          <w:lang w:val="ka-GE" w:eastAsia="en-GB"/>
        </w:rPr>
      </w:pPr>
    </w:p>
    <w:p w:rsidR="00C055B5" w:rsidRPr="00877C7B" w:rsidRDefault="00C055B5" w:rsidP="00A146F5">
      <w:pPr>
        <w:pStyle w:val="Heading3"/>
        <w:rPr>
          <w:rFonts w:asciiTheme="minorHAnsi" w:hAnsiTheme="minorHAnsi" w:cstheme="minorHAnsi"/>
          <w:lang w:val="en-GB"/>
        </w:rPr>
      </w:pPr>
      <w:bookmarkStart w:id="14" w:name="_Toc58952856"/>
      <w:r w:rsidRPr="00877C7B">
        <w:rPr>
          <w:rFonts w:asciiTheme="minorHAnsi" w:hAnsiTheme="minorHAnsi" w:cstheme="minorHAnsi"/>
          <w:lang w:val="en-GB"/>
        </w:rPr>
        <w:t>Scheme for professional development and career advancement of teachers and an increase of remuneration</w:t>
      </w:r>
      <w:bookmarkEnd w:id="14"/>
    </w:p>
    <w:p w:rsidR="00C055B5" w:rsidRPr="00877C7B" w:rsidRDefault="00C055B5" w:rsidP="00C055B5">
      <w:pPr>
        <w:spacing w:after="0"/>
        <w:ind w:firstLine="360"/>
        <w:jc w:val="both"/>
        <w:rPr>
          <w:rFonts w:cstheme="minorHAnsi"/>
          <w:b/>
          <w:lang w:val="en-GB"/>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Education, Science, Culture and Sport of Georgia</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Pr</w:t>
      </w:r>
      <w:r w:rsidR="008A1D1D" w:rsidRPr="00877C7B">
        <w:rPr>
          <w:rFonts w:cstheme="minorHAnsi"/>
          <w:lang w:val="en-GB"/>
        </w:rPr>
        <w:t>imary</w:t>
      </w:r>
      <w:r w:rsidRPr="00877C7B">
        <w:rPr>
          <w:rFonts w:cstheme="minorHAnsi"/>
          <w:lang w:val="en-GB"/>
        </w:rPr>
        <w:t xml:space="preserve"> and Secondary Education</w:t>
      </w:r>
    </w:p>
    <w:p w:rsidR="00C055B5" w:rsidRPr="00877C7B" w:rsidRDefault="00C055B5" w:rsidP="008A1D1D">
      <w:pPr>
        <w:spacing w:after="0"/>
        <w:ind w:firstLine="360"/>
        <w:jc w:val="both"/>
        <w:rPr>
          <w:rFonts w:cstheme="minorHAnsi"/>
          <w:lang w:val="en-GB"/>
        </w:rPr>
      </w:pPr>
      <w:r w:rsidRPr="00877C7B">
        <w:rPr>
          <w:rFonts w:cstheme="minorHAnsi"/>
          <w:b/>
          <w:lang w:val="en-GB"/>
        </w:rPr>
        <w:t>Program code</w:t>
      </w:r>
      <w:r w:rsidR="008A1D1D" w:rsidRPr="00877C7B">
        <w:rPr>
          <w:rFonts w:cstheme="minorHAnsi"/>
          <w:lang w:val="en-GB"/>
        </w:rPr>
        <w:t xml:space="preserve"> – 32 02</w:t>
      </w:r>
    </w:p>
    <w:p w:rsidR="00C055B5" w:rsidRPr="00877C7B" w:rsidRDefault="00C055B5" w:rsidP="008A1D1D">
      <w:pPr>
        <w:spacing w:line="240" w:lineRule="auto"/>
        <w:jc w:val="both"/>
        <w:rPr>
          <w:rFonts w:cstheme="minorHAnsi"/>
          <w:lang w:val="ka-GE"/>
        </w:rPr>
      </w:pPr>
      <w:r w:rsidRPr="00877C7B">
        <w:rPr>
          <w:rFonts w:cstheme="minorHAnsi"/>
          <w:lang w:val="ka-GE"/>
        </w:rPr>
        <w:t>As part of the education reform, the next stage of teacher</w:t>
      </w:r>
      <w:r w:rsidRPr="00877C7B">
        <w:rPr>
          <w:rFonts w:cstheme="minorHAnsi"/>
          <w:lang w:val="en-GB"/>
        </w:rPr>
        <w:t>s’</w:t>
      </w:r>
      <w:r w:rsidRPr="00877C7B">
        <w:rPr>
          <w:rFonts w:cstheme="minorHAnsi"/>
          <w:lang w:val="ka-GE"/>
        </w:rPr>
        <w:t xml:space="preserve"> professional development and career advancement is planned for 2021. </w:t>
      </w:r>
      <w:r w:rsidRPr="00877C7B">
        <w:rPr>
          <w:rFonts w:cstheme="minorHAnsi"/>
          <w:lang w:val="en-GB"/>
        </w:rPr>
        <w:t>Within the framework of t</w:t>
      </w:r>
      <w:r w:rsidRPr="00877C7B">
        <w:rPr>
          <w:rFonts w:cstheme="minorHAnsi"/>
          <w:lang w:val="ka-GE"/>
        </w:rPr>
        <w:t>he current education reform</w:t>
      </w:r>
      <w:r w:rsidRPr="00877C7B">
        <w:rPr>
          <w:rFonts w:cstheme="minorHAnsi"/>
          <w:lang w:val="en-GB"/>
        </w:rPr>
        <w:t>,</w:t>
      </w:r>
      <w:r w:rsidRPr="00877C7B">
        <w:rPr>
          <w:rFonts w:cstheme="minorHAnsi"/>
          <w:lang w:val="ka-GE"/>
        </w:rPr>
        <w:t xml:space="preserve"> the professional development of </w:t>
      </w:r>
      <w:r w:rsidRPr="00877C7B">
        <w:rPr>
          <w:rFonts w:cstheme="minorHAnsi"/>
          <w:lang w:val="en-GB"/>
        </w:rPr>
        <w:t xml:space="preserve">practitioner </w:t>
      </w:r>
      <w:r w:rsidRPr="00877C7B">
        <w:rPr>
          <w:rFonts w:cstheme="minorHAnsi"/>
          <w:lang w:val="ka-GE"/>
        </w:rPr>
        <w:t>teachers</w:t>
      </w:r>
      <w:r w:rsidRPr="00877C7B">
        <w:rPr>
          <w:rFonts w:cstheme="minorHAnsi"/>
          <w:lang w:val="en-GB"/>
        </w:rPr>
        <w:t xml:space="preserve"> will be promoted</w:t>
      </w:r>
      <w:r w:rsidRPr="00877C7B">
        <w:rPr>
          <w:rFonts w:cstheme="minorHAnsi"/>
          <w:lang w:val="ka-GE"/>
        </w:rPr>
        <w:t>, motivating them to increase their status in the career scheme, and gradually replac</w:t>
      </w:r>
      <w:r w:rsidRPr="00877C7B">
        <w:rPr>
          <w:rFonts w:cstheme="minorHAnsi"/>
          <w:lang w:val="en-GB"/>
        </w:rPr>
        <w:t>e</w:t>
      </w:r>
      <w:r w:rsidRPr="00877C7B">
        <w:rPr>
          <w:rFonts w:cstheme="minorHAnsi"/>
          <w:lang w:val="ka-GE"/>
        </w:rPr>
        <w:t xml:space="preserve"> </w:t>
      </w:r>
      <w:r w:rsidRPr="00877C7B">
        <w:rPr>
          <w:rFonts w:cstheme="minorHAnsi"/>
          <w:lang w:val="en-GB"/>
        </w:rPr>
        <w:t xml:space="preserve">them </w:t>
      </w:r>
      <w:r w:rsidRPr="00877C7B">
        <w:rPr>
          <w:rFonts w:cstheme="minorHAnsi"/>
          <w:lang w:val="ka-GE"/>
        </w:rPr>
        <w:t>with</w:t>
      </w:r>
      <w:r w:rsidRPr="00877C7B">
        <w:rPr>
          <w:rFonts w:cstheme="minorHAnsi"/>
          <w:lang w:val="en-GB"/>
        </w:rPr>
        <w:t xml:space="preserve"> the status of</w:t>
      </w:r>
      <w:r w:rsidRPr="00877C7B">
        <w:rPr>
          <w:rFonts w:cstheme="minorHAnsi"/>
          <w:lang w:val="ka-GE"/>
        </w:rPr>
        <w:t xml:space="preserve"> </w:t>
      </w:r>
      <w:r w:rsidRPr="00877C7B">
        <w:rPr>
          <w:rFonts w:cstheme="minorHAnsi"/>
          <w:lang w:val="en-GB"/>
        </w:rPr>
        <w:t>head</w:t>
      </w:r>
      <w:r w:rsidRPr="00877C7B">
        <w:rPr>
          <w:rFonts w:cstheme="minorHAnsi"/>
          <w:lang w:val="ka-GE"/>
        </w:rPr>
        <w:t>, lead</w:t>
      </w:r>
      <w:r w:rsidRPr="00877C7B">
        <w:rPr>
          <w:rFonts w:cstheme="minorHAnsi"/>
          <w:lang w:val="en-GB"/>
        </w:rPr>
        <w:t>ing</w:t>
      </w:r>
      <w:r w:rsidRPr="00877C7B">
        <w:rPr>
          <w:rFonts w:cstheme="minorHAnsi"/>
          <w:lang w:val="ka-GE"/>
        </w:rPr>
        <w:t xml:space="preserve"> and mentor teachers</w:t>
      </w:r>
      <w:r w:rsidRPr="00877C7B">
        <w:rPr>
          <w:rFonts w:cstheme="minorHAnsi"/>
          <w:lang w:val="en-GB"/>
        </w:rPr>
        <w:t xml:space="preserve"> in the scheme</w:t>
      </w:r>
      <w:r w:rsidRPr="00877C7B">
        <w:rPr>
          <w:rFonts w:cstheme="minorHAnsi"/>
          <w:lang w:val="ka-GE"/>
        </w:rPr>
        <w:t>.</w:t>
      </w:r>
      <w:r w:rsidRPr="00877C7B">
        <w:rPr>
          <w:rFonts w:cstheme="minorHAnsi"/>
          <w:lang w:val="en-GB"/>
        </w:rPr>
        <w:t xml:space="preserve"> From</w:t>
      </w:r>
      <w:r w:rsidRPr="00877C7B">
        <w:rPr>
          <w:rFonts w:cstheme="minorHAnsi"/>
          <w:lang w:val="ka-GE"/>
        </w:rPr>
        <w:t xml:space="preserve"> 2021, at the new stage of the reform, it is planned to increase the </w:t>
      </w:r>
      <w:r w:rsidRPr="00877C7B">
        <w:rPr>
          <w:rFonts w:cstheme="minorHAnsi"/>
          <w:lang w:val="en-GB"/>
        </w:rPr>
        <w:t>supplements</w:t>
      </w:r>
      <w:r w:rsidRPr="00877C7B">
        <w:rPr>
          <w:rFonts w:cstheme="minorHAnsi"/>
          <w:lang w:val="ka-GE"/>
        </w:rPr>
        <w:t xml:space="preserve"> of </w:t>
      </w:r>
      <w:r w:rsidRPr="00877C7B">
        <w:rPr>
          <w:rFonts w:cstheme="minorHAnsi"/>
          <w:lang w:val="en-GB"/>
        </w:rPr>
        <w:t>the teachers with the status of head</w:t>
      </w:r>
      <w:r w:rsidRPr="00877C7B">
        <w:rPr>
          <w:rFonts w:cstheme="minorHAnsi"/>
          <w:lang w:val="ka-GE"/>
        </w:rPr>
        <w:t>, leading and mentor (more than 39 thousand</w:t>
      </w:r>
      <w:r w:rsidRPr="00877C7B">
        <w:rPr>
          <w:rFonts w:cstheme="minorHAnsi"/>
          <w:lang w:val="en-GB"/>
        </w:rPr>
        <w:t>s of</w:t>
      </w:r>
      <w:r w:rsidRPr="00877C7B">
        <w:rPr>
          <w:rFonts w:cstheme="minorHAnsi"/>
          <w:lang w:val="ka-GE"/>
        </w:rPr>
        <w:t xml:space="preserve"> teachers) by 100 GEL. As a result, from January 2021, the supplement </w:t>
      </w:r>
      <w:r w:rsidRPr="00877C7B">
        <w:rPr>
          <w:rFonts w:cstheme="minorHAnsi"/>
          <w:lang w:val="en-GB"/>
        </w:rPr>
        <w:t>of</w:t>
      </w:r>
      <w:r w:rsidRPr="00877C7B">
        <w:rPr>
          <w:rFonts w:cstheme="minorHAnsi"/>
          <w:lang w:val="ka-GE"/>
        </w:rPr>
        <w:t xml:space="preserve"> a senior teacher </w:t>
      </w:r>
      <w:r w:rsidRPr="00877C7B">
        <w:rPr>
          <w:rFonts w:cstheme="minorHAnsi"/>
          <w:lang w:val="en-GB"/>
        </w:rPr>
        <w:t>will be</w:t>
      </w:r>
      <w:r w:rsidRPr="00877C7B">
        <w:rPr>
          <w:rFonts w:cstheme="minorHAnsi"/>
          <w:lang w:val="ka-GE"/>
        </w:rPr>
        <w:t xml:space="preserve"> 570 GEL, Leading teacher  - 950 GEL, and mentor teacher - 1250 GEL.</w:t>
      </w:r>
    </w:p>
    <w:p w:rsidR="00A146F5" w:rsidRPr="00877C7B" w:rsidRDefault="00A146F5" w:rsidP="00C055B5">
      <w:pPr>
        <w:spacing w:line="240" w:lineRule="auto"/>
        <w:ind w:firstLine="360"/>
        <w:jc w:val="both"/>
        <w:rPr>
          <w:rFonts w:cstheme="minorHAnsi"/>
          <w:lang w:val="en-GB"/>
        </w:rPr>
      </w:pPr>
    </w:p>
    <w:p w:rsidR="00C055B5" w:rsidRPr="00877C7B" w:rsidRDefault="00C055B5" w:rsidP="00A146F5">
      <w:pPr>
        <w:pStyle w:val="Heading3"/>
        <w:ind w:firstLine="360"/>
        <w:rPr>
          <w:rFonts w:asciiTheme="minorHAnsi" w:hAnsiTheme="minorHAnsi" w:cstheme="minorHAnsi"/>
          <w:lang w:val="en-GB"/>
        </w:rPr>
      </w:pPr>
      <w:bookmarkStart w:id="15" w:name="_Toc58952857"/>
      <w:r w:rsidRPr="00877C7B">
        <w:rPr>
          <w:rFonts w:asciiTheme="minorHAnsi" w:hAnsiTheme="minorHAnsi" w:cstheme="minorHAnsi"/>
          <w:lang w:val="en-GB"/>
        </w:rPr>
        <w:t>Implementation of "New School" Model</w:t>
      </w:r>
      <w:bookmarkEnd w:id="15"/>
    </w:p>
    <w:p w:rsidR="00C055B5" w:rsidRPr="00877C7B" w:rsidRDefault="00C055B5" w:rsidP="00C055B5">
      <w:pPr>
        <w:spacing w:line="240" w:lineRule="auto"/>
        <w:jc w:val="both"/>
        <w:rPr>
          <w:rFonts w:cstheme="minorHAnsi"/>
          <w:lang w:val="ka-GE"/>
        </w:rPr>
      </w:pPr>
    </w:p>
    <w:p w:rsidR="00C055B5" w:rsidRPr="00877C7B" w:rsidRDefault="00C055B5" w:rsidP="00C055B5">
      <w:pPr>
        <w:spacing w:after="0"/>
        <w:ind w:firstLine="360"/>
        <w:jc w:val="both"/>
        <w:rPr>
          <w:rFonts w:cstheme="minorHAnsi"/>
          <w:lang w:val="en-GB"/>
        </w:rPr>
      </w:pPr>
      <w:r w:rsidRPr="00877C7B">
        <w:rPr>
          <w:rFonts w:cstheme="minorHAnsi"/>
          <w:b/>
          <w:lang w:val="en-GB"/>
        </w:rPr>
        <w:t>Ministry</w:t>
      </w:r>
      <w:r w:rsidRPr="00877C7B">
        <w:rPr>
          <w:rFonts w:cstheme="minorHAnsi"/>
          <w:lang w:val="en-GB"/>
        </w:rPr>
        <w:t xml:space="preserve"> - Ministry of Education, Science, Culture and Sport of Georgia</w:t>
      </w:r>
    </w:p>
    <w:p w:rsidR="00C055B5" w:rsidRPr="00877C7B" w:rsidRDefault="00C055B5" w:rsidP="00C055B5">
      <w:pPr>
        <w:spacing w:after="0"/>
        <w:ind w:firstLine="360"/>
        <w:jc w:val="both"/>
        <w:rPr>
          <w:rFonts w:cstheme="minorHAnsi"/>
          <w:lang w:val="en-GB"/>
        </w:rPr>
      </w:pPr>
      <w:r w:rsidRPr="00877C7B">
        <w:rPr>
          <w:rFonts w:cstheme="minorHAnsi"/>
          <w:b/>
          <w:lang w:val="en-GB"/>
        </w:rPr>
        <w:t>Program name</w:t>
      </w:r>
      <w:r w:rsidRPr="00877C7B">
        <w:rPr>
          <w:rFonts w:cstheme="minorHAnsi"/>
          <w:lang w:val="en-GB"/>
        </w:rPr>
        <w:t xml:space="preserve"> – Primary and Secondary Education</w:t>
      </w:r>
    </w:p>
    <w:p w:rsidR="00C055B5" w:rsidRPr="00877C7B" w:rsidRDefault="00C055B5" w:rsidP="00C055B5">
      <w:pPr>
        <w:spacing w:after="0"/>
        <w:ind w:firstLine="360"/>
        <w:jc w:val="both"/>
        <w:rPr>
          <w:rFonts w:cstheme="minorHAnsi"/>
          <w:lang w:val="en-GB"/>
        </w:rPr>
      </w:pPr>
      <w:r w:rsidRPr="00877C7B">
        <w:rPr>
          <w:rFonts w:cstheme="minorHAnsi"/>
          <w:b/>
          <w:lang w:val="en-GB"/>
        </w:rPr>
        <w:t>Program code</w:t>
      </w:r>
      <w:r w:rsidRPr="00877C7B">
        <w:rPr>
          <w:rFonts w:cstheme="minorHAnsi"/>
          <w:lang w:val="en-GB"/>
        </w:rPr>
        <w:t xml:space="preserve"> – 32 02</w:t>
      </w:r>
    </w:p>
    <w:p w:rsidR="00C055B5" w:rsidRPr="00877C7B" w:rsidRDefault="00C055B5" w:rsidP="00C055B5">
      <w:pPr>
        <w:tabs>
          <w:tab w:val="left" w:pos="450"/>
        </w:tabs>
        <w:spacing w:after="0" w:line="240" w:lineRule="auto"/>
        <w:contextualSpacing/>
        <w:jc w:val="both"/>
        <w:rPr>
          <w:rFonts w:cstheme="minorHAnsi"/>
          <w:lang w:val="ka-GE"/>
        </w:rPr>
      </w:pPr>
    </w:p>
    <w:p w:rsidR="00C055B5" w:rsidRPr="00877C7B" w:rsidRDefault="00C055B5" w:rsidP="00C055B5">
      <w:pPr>
        <w:tabs>
          <w:tab w:val="left" w:pos="450"/>
        </w:tabs>
        <w:spacing w:after="0" w:line="240" w:lineRule="auto"/>
        <w:contextualSpacing/>
        <w:jc w:val="both"/>
        <w:rPr>
          <w:rFonts w:cstheme="minorHAnsi"/>
          <w:lang w:val="ka-GE"/>
        </w:rPr>
      </w:pPr>
      <w:r w:rsidRPr="00877C7B">
        <w:rPr>
          <w:rFonts w:cstheme="minorHAnsi"/>
          <w:lang w:val="ka-GE"/>
        </w:rPr>
        <w:t xml:space="preserve">In the medium term, the "new school" model is planned to be implemented in all public schools across the country, which includes the promotion of third generation national curricula, as well as the functioning of schools and </w:t>
      </w:r>
      <w:r w:rsidRPr="00877C7B">
        <w:rPr>
          <w:rFonts w:cstheme="minorHAnsi"/>
          <w:lang w:val="en-GB"/>
        </w:rPr>
        <w:t>T</w:t>
      </w:r>
      <w:r w:rsidRPr="00877C7B">
        <w:rPr>
          <w:rFonts w:cstheme="minorHAnsi"/>
          <w:lang w:val="ka-GE"/>
        </w:rPr>
        <w:t xml:space="preserve">eacher </w:t>
      </w:r>
      <w:r w:rsidRPr="00877C7B">
        <w:rPr>
          <w:rFonts w:cstheme="minorHAnsi"/>
          <w:lang w:val="en-GB"/>
        </w:rPr>
        <w:t>S</w:t>
      </w:r>
      <w:r w:rsidRPr="00877C7B">
        <w:rPr>
          <w:rFonts w:cstheme="minorHAnsi"/>
          <w:lang w:val="ka-GE"/>
        </w:rPr>
        <w:t xml:space="preserve">upport </w:t>
      </w:r>
      <w:r w:rsidRPr="00877C7B">
        <w:rPr>
          <w:rFonts w:cstheme="minorHAnsi"/>
          <w:lang w:val="en-GB"/>
        </w:rPr>
        <w:t>G</w:t>
      </w:r>
      <w:r w:rsidRPr="00877C7B">
        <w:rPr>
          <w:rFonts w:cstheme="minorHAnsi"/>
          <w:lang w:val="ka-GE"/>
        </w:rPr>
        <w:t>roups throughout the country, which include: expert</w:t>
      </w:r>
      <w:r w:rsidRPr="00877C7B">
        <w:rPr>
          <w:rFonts w:cstheme="minorHAnsi"/>
          <w:lang w:val="en-GB"/>
        </w:rPr>
        <w:t>s</w:t>
      </w:r>
      <w:r w:rsidRPr="00877C7B">
        <w:rPr>
          <w:rFonts w:cstheme="minorHAnsi"/>
          <w:lang w:val="ka-GE"/>
        </w:rPr>
        <w:t xml:space="preserve"> in all subjects as well as experts in primary education, technology</w:t>
      </w:r>
      <w:r w:rsidRPr="00877C7B">
        <w:rPr>
          <w:rFonts w:cstheme="minorHAnsi"/>
          <w:lang w:val="en-GB"/>
        </w:rPr>
        <w:t>,</w:t>
      </w:r>
      <w:r w:rsidRPr="00877C7B">
        <w:rPr>
          <w:rFonts w:cstheme="minorHAnsi"/>
          <w:lang w:val="ka-GE"/>
        </w:rPr>
        <w:t xml:space="preserve"> Inclusive Education, Leadership and National Curriculu</w:t>
      </w:r>
      <w:r w:rsidR="008A1D1D" w:rsidRPr="00877C7B">
        <w:rPr>
          <w:rFonts w:cstheme="minorHAnsi"/>
          <w:lang w:val="ka-GE"/>
        </w:rPr>
        <w:t>m Implementation Coordinators.</w:t>
      </w:r>
      <w:r w:rsidR="008A1D1D" w:rsidRPr="00877C7B">
        <w:rPr>
          <w:rFonts w:cstheme="minorHAnsi"/>
          <w:lang w:val="ka-GE"/>
        </w:rPr>
        <w:tab/>
      </w:r>
      <w:r w:rsidRPr="00877C7B">
        <w:rPr>
          <w:rFonts w:cstheme="minorHAnsi"/>
          <w:lang w:val="ka-GE"/>
        </w:rPr>
        <w:t xml:space="preserve">As part of the reform, the following activities </w:t>
      </w:r>
      <w:r w:rsidRPr="00877C7B">
        <w:rPr>
          <w:rFonts w:cstheme="minorHAnsi"/>
          <w:lang w:val="en-GB"/>
        </w:rPr>
        <w:t xml:space="preserve">will be implemented in schools </w:t>
      </w:r>
      <w:r w:rsidRPr="00877C7B">
        <w:rPr>
          <w:rFonts w:cstheme="minorHAnsi"/>
          <w:lang w:val="ka-GE"/>
        </w:rPr>
        <w:t>based on coaching principles:</w:t>
      </w:r>
    </w:p>
    <w:p w:rsidR="00C055B5" w:rsidRPr="00877C7B" w:rsidRDefault="00C055B5" w:rsidP="00C055B5">
      <w:pPr>
        <w:numPr>
          <w:ilvl w:val="0"/>
          <w:numId w:val="9"/>
        </w:numPr>
        <w:tabs>
          <w:tab w:val="left" w:pos="450"/>
        </w:tabs>
        <w:spacing w:after="0" w:line="240" w:lineRule="auto"/>
        <w:contextualSpacing/>
        <w:jc w:val="both"/>
        <w:rPr>
          <w:rFonts w:cstheme="minorHAnsi"/>
          <w:bCs/>
          <w:lang w:val="ka-GE"/>
        </w:rPr>
      </w:pPr>
      <w:r w:rsidRPr="00877C7B">
        <w:rPr>
          <w:rFonts w:cstheme="minorHAnsi"/>
          <w:bCs/>
          <w:lang w:val="en-GB"/>
        </w:rPr>
        <w:t>D</w:t>
      </w:r>
      <w:r w:rsidRPr="00877C7B">
        <w:rPr>
          <w:rFonts w:cstheme="minorHAnsi"/>
          <w:bCs/>
          <w:lang w:val="ka-GE"/>
        </w:rPr>
        <w:t>evelopment of school curricula based on constructivist principles of teaching-learning;</w:t>
      </w:r>
    </w:p>
    <w:p w:rsidR="00C055B5" w:rsidRPr="00877C7B" w:rsidRDefault="00C055B5" w:rsidP="00C055B5">
      <w:pPr>
        <w:numPr>
          <w:ilvl w:val="0"/>
          <w:numId w:val="9"/>
        </w:numPr>
        <w:tabs>
          <w:tab w:val="left" w:pos="450"/>
        </w:tabs>
        <w:spacing w:after="0" w:line="240" w:lineRule="auto"/>
        <w:contextualSpacing/>
        <w:jc w:val="both"/>
        <w:rPr>
          <w:rFonts w:cstheme="minorHAnsi"/>
          <w:bCs/>
          <w:lang w:val="ka-GE"/>
        </w:rPr>
      </w:pPr>
      <w:r w:rsidRPr="00877C7B">
        <w:rPr>
          <w:rFonts w:cstheme="minorHAnsi"/>
          <w:bCs/>
          <w:lang w:val="en-GB"/>
        </w:rPr>
        <w:t>Establishing</w:t>
      </w:r>
      <w:r w:rsidRPr="00877C7B">
        <w:rPr>
          <w:rFonts w:cstheme="minorHAnsi"/>
          <w:bCs/>
          <w:lang w:val="ka-GE"/>
        </w:rPr>
        <w:t xml:space="preserve"> a system of internal and external evaluation focused on support and assistance</w:t>
      </w:r>
      <w:r w:rsidRPr="00877C7B">
        <w:rPr>
          <w:rFonts w:cstheme="minorHAnsi"/>
          <w:bCs/>
          <w:lang w:val="en-GB"/>
        </w:rPr>
        <w:t>;</w:t>
      </w:r>
    </w:p>
    <w:p w:rsidR="00C055B5" w:rsidRPr="00877C7B" w:rsidRDefault="00C055B5" w:rsidP="00C055B5">
      <w:pPr>
        <w:numPr>
          <w:ilvl w:val="0"/>
          <w:numId w:val="9"/>
        </w:numPr>
        <w:tabs>
          <w:tab w:val="left" w:pos="450"/>
        </w:tabs>
        <w:spacing w:after="0" w:line="240" w:lineRule="auto"/>
        <w:contextualSpacing/>
        <w:jc w:val="both"/>
        <w:rPr>
          <w:rFonts w:cstheme="minorHAnsi"/>
          <w:bCs/>
          <w:lang w:val="ka-GE"/>
        </w:rPr>
      </w:pPr>
      <w:r w:rsidRPr="00877C7B">
        <w:rPr>
          <w:rFonts w:cstheme="minorHAnsi"/>
          <w:bCs/>
          <w:lang w:val="ka-GE"/>
        </w:rPr>
        <w:t>Introduce the use of technology including the creation of digital programs "Learning through play", "</w:t>
      </w:r>
      <w:r w:rsidRPr="00877C7B">
        <w:rPr>
          <w:rFonts w:cstheme="minorHAnsi"/>
          <w:bCs/>
          <w:lang w:val="en-GB"/>
        </w:rPr>
        <w:t>Digitalization of</w:t>
      </w:r>
      <w:r w:rsidRPr="00877C7B">
        <w:rPr>
          <w:rFonts w:cstheme="minorHAnsi"/>
          <w:bCs/>
          <w:lang w:val="ka-GE"/>
        </w:rPr>
        <w:t xml:space="preserve"> the learning process", Georgian LLMS</w:t>
      </w:r>
      <w:r w:rsidRPr="00877C7B">
        <w:rPr>
          <w:rFonts w:cstheme="minorHAnsi"/>
          <w:bCs/>
          <w:lang w:val="en-GB"/>
        </w:rPr>
        <w:t>, to</w:t>
      </w:r>
      <w:r w:rsidRPr="00877C7B">
        <w:rPr>
          <w:rFonts w:cstheme="minorHAnsi"/>
          <w:bCs/>
          <w:lang w:val="ka-GE"/>
        </w:rPr>
        <w:t xml:space="preserve"> </w:t>
      </w:r>
      <w:r w:rsidRPr="00877C7B">
        <w:rPr>
          <w:rFonts w:cstheme="minorHAnsi"/>
          <w:bCs/>
          <w:lang w:val="en-GB"/>
        </w:rPr>
        <w:t>improve</w:t>
      </w:r>
      <w:r w:rsidRPr="00877C7B">
        <w:rPr>
          <w:rFonts w:cstheme="minorHAnsi"/>
          <w:bCs/>
          <w:lang w:val="ka-GE"/>
        </w:rPr>
        <w:t xml:space="preserve"> the communication and teaching-learning process;</w:t>
      </w:r>
    </w:p>
    <w:p w:rsidR="00C055B5" w:rsidRPr="00877C7B" w:rsidRDefault="00C055B5" w:rsidP="00C055B5">
      <w:pPr>
        <w:numPr>
          <w:ilvl w:val="0"/>
          <w:numId w:val="9"/>
        </w:numPr>
        <w:tabs>
          <w:tab w:val="left" w:pos="450"/>
        </w:tabs>
        <w:spacing w:after="0" w:line="240" w:lineRule="auto"/>
        <w:contextualSpacing/>
        <w:jc w:val="both"/>
        <w:rPr>
          <w:rFonts w:cstheme="minorHAnsi"/>
          <w:bCs/>
          <w:lang w:val="ka-GE"/>
        </w:rPr>
      </w:pPr>
      <w:r w:rsidRPr="00877C7B">
        <w:rPr>
          <w:rFonts w:cstheme="minorHAnsi"/>
          <w:bCs/>
          <w:lang w:val="ka-GE"/>
        </w:rPr>
        <w:t>Establishing</w:t>
      </w:r>
      <w:r w:rsidRPr="00877C7B">
        <w:rPr>
          <w:rFonts w:cstheme="minorHAnsi"/>
          <w:bCs/>
          <w:lang w:val="en-GB"/>
        </w:rPr>
        <w:t xml:space="preserve"> the</w:t>
      </w:r>
      <w:r w:rsidRPr="00877C7B">
        <w:rPr>
          <w:rFonts w:cstheme="minorHAnsi"/>
          <w:bCs/>
          <w:lang w:val="ka-GE"/>
        </w:rPr>
        <w:t xml:space="preserve"> self-assessment system - Schools are informed about the requirements of the National Curriculum, </w:t>
      </w:r>
      <w:r w:rsidRPr="00877C7B">
        <w:rPr>
          <w:rFonts w:cstheme="minorHAnsi"/>
          <w:bCs/>
          <w:lang w:val="en-GB"/>
        </w:rPr>
        <w:t xml:space="preserve">they </w:t>
      </w:r>
      <w:r w:rsidRPr="00877C7B">
        <w:rPr>
          <w:rFonts w:cstheme="minorHAnsi"/>
          <w:bCs/>
          <w:lang w:val="ka-GE"/>
        </w:rPr>
        <w:t>receive updated results of the Progress Assessment and School Culture Survey each year, based on which they study their needs to meet the requirements of the National Curriculum.</w:t>
      </w:r>
    </w:p>
    <w:p w:rsidR="00C055B5" w:rsidRPr="00877C7B" w:rsidRDefault="00C055B5" w:rsidP="00C055B5">
      <w:pPr>
        <w:spacing w:line="240" w:lineRule="auto"/>
        <w:rPr>
          <w:rFonts w:cstheme="minorHAnsi"/>
          <w:lang w:val="ka-GE"/>
        </w:rPr>
      </w:pPr>
    </w:p>
    <w:p w:rsidR="00C055B5" w:rsidRDefault="003C31A8" w:rsidP="00C055B5">
      <w:pPr>
        <w:pStyle w:val="Heading1"/>
        <w:jc w:val="center"/>
        <w:rPr>
          <w:rFonts w:asciiTheme="minorHAnsi" w:hAnsiTheme="minorHAnsi" w:cstheme="minorHAnsi"/>
          <w:b/>
          <w:sz w:val="26"/>
          <w:szCs w:val="26"/>
          <w:lang w:val="en-GB"/>
        </w:rPr>
      </w:pPr>
      <w:bookmarkStart w:id="16" w:name="_Toc58952858"/>
      <w:r w:rsidRPr="00877C7B">
        <w:rPr>
          <w:rFonts w:asciiTheme="minorHAnsi" w:hAnsiTheme="minorHAnsi" w:cstheme="minorHAnsi"/>
          <w:b/>
          <w:sz w:val="26"/>
          <w:szCs w:val="26"/>
          <w:lang w:val="en-GB"/>
        </w:rPr>
        <w:t>2</w:t>
      </w:r>
      <w:r w:rsidR="00C055B5" w:rsidRPr="00877C7B">
        <w:rPr>
          <w:rFonts w:asciiTheme="minorHAnsi" w:hAnsiTheme="minorHAnsi" w:cstheme="minorHAnsi"/>
          <w:b/>
          <w:sz w:val="26"/>
          <w:szCs w:val="26"/>
          <w:lang w:val="en-GB"/>
        </w:rPr>
        <w:t>.2. Financial Resources provided for new policy directions in the Basic Data and Directions (BDD) document (in thousands GEL)</w:t>
      </w:r>
      <w:bookmarkEnd w:id="16"/>
    </w:p>
    <w:p w:rsidR="00B96426" w:rsidRDefault="00B96426" w:rsidP="00B96426">
      <w:pPr>
        <w:rPr>
          <w:lang w:val="en-GB"/>
        </w:rPr>
      </w:pPr>
    </w:p>
    <w:tbl>
      <w:tblPr>
        <w:tblW w:w="9880" w:type="dxa"/>
        <w:tblLook w:val="04A0" w:firstRow="1" w:lastRow="0" w:firstColumn="1" w:lastColumn="0" w:noHBand="0" w:noVBand="1"/>
      </w:tblPr>
      <w:tblGrid>
        <w:gridCol w:w="4920"/>
        <w:gridCol w:w="1240"/>
        <w:gridCol w:w="1240"/>
        <w:gridCol w:w="1240"/>
        <w:gridCol w:w="1240"/>
      </w:tblGrid>
      <w:tr w:rsidR="00B96426" w:rsidRPr="00B96426" w:rsidTr="00B96426">
        <w:trPr>
          <w:trHeight w:val="450"/>
          <w:tblHeader/>
        </w:trPr>
        <w:tc>
          <w:tcPr>
            <w:tcW w:w="4920" w:type="dxa"/>
            <w:tcBorders>
              <w:top w:val="single" w:sz="4" w:space="0" w:color="8497B0"/>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New policy directions by Ministries and programs</w:t>
            </w:r>
          </w:p>
        </w:tc>
        <w:tc>
          <w:tcPr>
            <w:tcW w:w="1240" w:type="dxa"/>
            <w:tcBorders>
              <w:top w:val="single" w:sz="4" w:space="0" w:color="8497B0"/>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2021 Budget</w:t>
            </w:r>
          </w:p>
        </w:tc>
        <w:tc>
          <w:tcPr>
            <w:tcW w:w="1240" w:type="dxa"/>
            <w:tcBorders>
              <w:top w:val="single" w:sz="4" w:space="0" w:color="8497B0"/>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2022 Forecast</w:t>
            </w:r>
          </w:p>
        </w:tc>
        <w:tc>
          <w:tcPr>
            <w:tcW w:w="1240" w:type="dxa"/>
            <w:tcBorders>
              <w:top w:val="single" w:sz="4" w:space="0" w:color="8497B0"/>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2023 Forecast</w:t>
            </w:r>
          </w:p>
        </w:tc>
        <w:tc>
          <w:tcPr>
            <w:tcW w:w="1240" w:type="dxa"/>
            <w:tcBorders>
              <w:top w:val="single" w:sz="4" w:space="0" w:color="8497B0"/>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2024 Forecast</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Ministry of Economy and Sustainable Development of Georgia</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r>
      <w:tr w:rsidR="00B96426" w:rsidRPr="00B96426" w:rsidTr="00B96426">
        <w:trPr>
          <w:trHeight w:val="39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Entrepreneurship Development program (24 07)</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157,160.0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127,550.0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127,550.0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130,000.0</w:t>
            </w:r>
          </w:p>
        </w:tc>
      </w:tr>
      <w:tr w:rsidR="00B96426" w:rsidRPr="00B96426" w:rsidTr="00B96426">
        <w:trPr>
          <w:trHeight w:val="45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Credit Guarantee Scheme </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50,000.0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r>
      <w:tr w:rsidR="00B96426" w:rsidRPr="00B96426" w:rsidTr="00B96426">
        <w:trPr>
          <w:trHeight w:val="39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Supporting Developers</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35,000.0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0.0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Ministry of Internally Displaced Persons, Labour, Health and Social Affairs of Georgia</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Social Security of the population (program code - 27 02)</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3,839,900.0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3,750,000.0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3,920,000.0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4,200,000.0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New policy Direction in pension policy – Pension Indexation</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210,000.0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215,000.0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220,000.0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225,000.0</w:t>
            </w:r>
          </w:p>
        </w:tc>
      </w:tr>
      <w:tr w:rsidR="00B96426" w:rsidRPr="00B96426" w:rsidTr="00B96426">
        <w:trPr>
          <w:trHeight w:val="48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Health Care of the Population (program code - 27 03)</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1,548,582.0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1,193,782.0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1,220,156.0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1,241,552.0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New direction in the provision of Primary and Emergency medical care</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2,250.0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Labour and Employment System Reform Program (program code - 27 05)</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8,860.0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9,000.0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9,000.0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9,000.0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New direction of Safety working conditions  policy</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3,800.0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4,000.0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4,000.0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4,000.0</w:t>
            </w:r>
          </w:p>
        </w:tc>
      </w:tr>
      <w:tr w:rsidR="00B96426" w:rsidRPr="00B96426" w:rsidTr="00B96426">
        <w:trPr>
          <w:trHeight w:val="39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400" w:firstLine="8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New direction of Employment Policy</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1,213.0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1,500.0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1,500.0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1,500.0</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Ministry of Education, Science, Culture and Sport of Georgia</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c>
          <w:tcPr>
            <w:tcW w:w="1240" w:type="dxa"/>
            <w:tcBorders>
              <w:top w:val="nil"/>
              <w:left w:val="nil"/>
              <w:bottom w:val="single" w:sz="4" w:space="0" w:color="8497B0"/>
              <w:right w:val="single" w:sz="4" w:space="0" w:color="8497B0"/>
            </w:tcBorders>
            <w:shd w:val="clear" w:color="000000" w:fill="D6DCE4"/>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 </w:t>
            </w:r>
          </w:p>
        </w:tc>
      </w:tr>
      <w:tr w:rsidR="00B96426" w:rsidRPr="00B96426" w:rsidTr="00B96426">
        <w:trPr>
          <w:trHeight w:val="510"/>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1"/>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Primary and Secondary Education (program code - 32 02)</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1,030,147.0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1,301,550.0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1,880,250.0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sz w:val="20"/>
                <w:szCs w:val="20"/>
                <w:lang w:val="en-GB" w:eastAsia="en-GB"/>
              </w:rPr>
            </w:pPr>
            <w:r w:rsidRPr="00B96426">
              <w:rPr>
                <w:rFonts w:ascii="Calibri" w:eastAsia="Times New Roman" w:hAnsi="Calibri" w:cs="Calibri"/>
                <w:b/>
                <w:bCs/>
                <w:sz w:val="20"/>
                <w:szCs w:val="20"/>
                <w:lang w:val="en-GB" w:eastAsia="en-GB"/>
              </w:rPr>
              <w:t>2,236,250.0</w:t>
            </w:r>
          </w:p>
        </w:tc>
      </w:tr>
      <w:tr w:rsidR="00B96426" w:rsidRPr="00B96426" w:rsidTr="00B96426">
        <w:trPr>
          <w:trHeight w:val="765"/>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300" w:firstLine="600"/>
              <w:rPr>
                <w:rFonts w:ascii="Calibri" w:eastAsia="Times New Roman" w:hAnsi="Calibri" w:cs="Calibri"/>
                <w:i/>
                <w:iCs/>
                <w:color w:val="385623"/>
                <w:sz w:val="20"/>
                <w:szCs w:val="20"/>
                <w:lang w:val="en-GB" w:eastAsia="en-GB"/>
              </w:rPr>
            </w:pP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scheme for professional development and career advancement of teachers and an increase in remuneration</w:t>
            </w:r>
          </w:p>
        </w:tc>
        <w:tc>
          <w:tcPr>
            <w:tcW w:w="1240" w:type="dxa"/>
            <w:vMerge w:val="restart"/>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150,000.0</w:t>
            </w:r>
          </w:p>
        </w:tc>
        <w:tc>
          <w:tcPr>
            <w:tcW w:w="1240" w:type="dxa"/>
            <w:vMerge w:val="restart"/>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370,000.0</w:t>
            </w:r>
          </w:p>
        </w:tc>
        <w:tc>
          <w:tcPr>
            <w:tcW w:w="1240" w:type="dxa"/>
            <w:vMerge w:val="restart"/>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920,000.0</w:t>
            </w:r>
          </w:p>
        </w:tc>
        <w:tc>
          <w:tcPr>
            <w:tcW w:w="1240" w:type="dxa"/>
            <w:vMerge w:val="restart"/>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1,220,000.0</w:t>
            </w:r>
          </w:p>
        </w:tc>
      </w:tr>
      <w:tr w:rsidR="00B96426" w:rsidRPr="00B96426" w:rsidTr="00B96426">
        <w:trPr>
          <w:trHeight w:val="495"/>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ind w:firstLineChars="100" w:firstLine="200"/>
              <w:rPr>
                <w:rFonts w:ascii="Calibri" w:eastAsia="Times New Roman" w:hAnsi="Calibri" w:cs="Calibri"/>
                <w:i/>
                <w:iCs/>
                <w:color w:val="385623"/>
                <w:sz w:val="20"/>
                <w:szCs w:val="20"/>
                <w:lang w:val="en-GB" w:eastAsia="en-GB"/>
              </w:rPr>
            </w:pPr>
            <w:r w:rsidRPr="00B96426">
              <w:rPr>
                <w:rFonts w:ascii="Calibri" w:eastAsia="Times New Roman" w:hAnsi="Calibri" w:cs="Calibri"/>
                <w:i/>
                <w:iCs/>
                <w:color w:val="385623"/>
                <w:sz w:val="20"/>
                <w:szCs w:val="20"/>
                <w:lang w:val="en-GB" w:eastAsia="en-GB"/>
              </w:rPr>
              <w:t xml:space="preserve">     </w:t>
            </w:r>
            <w:r>
              <w:rPr>
                <w:rFonts w:ascii="Calibri" w:eastAsia="Times New Roman" w:hAnsi="Calibri" w:cs="Calibri"/>
                <w:i/>
                <w:iCs/>
                <w:color w:val="385623"/>
                <w:sz w:val="20"/>
                <w:szCs w:val="20"/>
                <w:lang w:val="en-GB" w:eastAsia="en-GB"/>
              </w:rPr>
              <w:t>including:</w:t>
            </w:r>
            <w:r w:rsidRPr="00B96426">
              <w:rPr>
                <w:rFonts w:ascii="Calibri" w:eastAsia="Times New Roman" w:hAnsi="Calibri" w:cs="Calibri"/>
                <w:i/>
                <w:iCs/>
                <w:color w:val="385623"/>
                <w:sz w:val="20"/>
                <w:szCs w:val="20"/>
                <w:lang w:val="en-GB" w:eastAsia="en-GB"/>
              </w:rPr>
              <w:t xml:space="preserve"> Implementation of "New School" Model</w:t>
            </w:r>
          </w:p>
        </w:tc>
        <w:tc>
          <w:tcPr>
            <w:tcW w:w="1240" w:type="dxa"/>
            <w:vMerge/>
            <w:tcBorders>
              <w:top w:val="nil"/>
              <w:left w:val="single" w:sz="4" w:space="0" w:color="8497B0"/>
              <w:bottom w:val="single" w:sz="4" w:space="0" w:color="8497B0"/>
              <w:right w:val="single" w:sz="4" w:space="0" w:color="8497B0"/>
            </w:tcBorders>
            <w:vAlign w:val="center"/>
            <w:hideMark/>
          </w:tcPr>
          <w:p w:rsidR="00B96426" w:rsidRPr="00B96426" w:rsidRDefault="00B96426" w:rsidP="00B96426">
            <w:pPr>
              <w:spacing w:after="0" w:line="240" w:lineRule="auto"/>
              <w:rPr>
                <w:rFonts w:ascii="Calibri" w:eastAsia="Times New Roman" w:hAnsi="Calibri" w:cs="Calibri"/>
                <w:i/>
                <w:iCs/>
                <w:color w:val="385623"/>
                <w:sz w:val="20"/>
                <w:szCs w:val="20"/>
                <w:lang w:val="en-GB" w:eastAsia="en-GB"/>
              </w:rPr>
            </w:pPr>
          </w:p>
        </w:tc>
        <w:tc>
          <w:tcPr>
            <w:tcW w:w="1240" w:type="dxa"/>
            <w:vMerge/>
            <w:tcBorders>
              <w:top w:val="nil"/>
              <w:left w:val="single" w:sz="4" w:space="0" w:color="8497B0"/>
              <w:bottom w:val="single" w:sz="4" w:space="0" w:color="8497B0"/>
              <w:right w:val="single" w:sz="4" w:space="0" w:color="8497B0"/>
            </w:tcBorders>
            <w:vAlign w:val="center"/>
            <w:hideMark/>
          </w:tcPr>
          <w:p w:rsidR="00B96426" w:rsidRPr="00B96426" w:rsidRDefault="00B96426" w:rsidP="00B96426">
            <w:pPr>
              <w:spacing w:after="0" w:line="240" w:lineRule="auto"/>
              <w:rPr>
                <w:rFonts w:ascii="Calibri" w:eastAsia="Times New Roman" w:hAnsi="Calibri" w:cs="Calibri"/>
                <w:i/>
                <w:iCs/>
                <w:color w:val="385623"/>
                <w:sz w:val="20"/>
                <w:szCs w:val="20"/>
                <w:lang w:val="en-GB" w:eastAsia="en-GB"/>
              </w:rPr>
            </w:pPr>
          </w:p>
        </w:tc>
        <w:tc>
          <w:tcPr>
            <w:tcW w:w="1240" w:type="dxa"/>
            <w:vMerge/>
            <w:tcBorders>
              <w:top w:val="nil"/>
              <w:left w:val="single" w:sz="4" w:space="0" w:color="8497B0"/>
              <w:bottom w:val="single" w:sz="4" w:space="0" w:color="8497B0"/>
              <w:right w:val="single" w:sz="4" w:space="0" w:color="8497B0"/>
            </w:tcBorders>
            <w:vAlign w:val="center"/>
            <w:hideMark/>
          </w:tcPr>
          <w:p w:rsidR="00B96426" w:rsidRPr="00B96426" w:rsidRDefault="00B96426" w:rsidP="00B96426">
            <w:pPr>
              <w:spacing w:after="0" w:line="240" w:lineRule="auto"/>
              <w:rPr>
                <w:rFonts w:ascii="Calibri" w:eastAsia="Times New Roman" w:hAnsi="Calibri" w:cs="Calibri"/>
                <w:i/>
                <w:iCs/>
                <w:color w:val="385623"/>
                <w:sz w:val="20"/>
                <w:szCs w:val="20"/>
                <w:lang w:val="en-GB" w:eastAsia="en-GB"/>
              </w:rPr>
            </w:pPr>
          </w:p>
        </w:tc>
        <w:tc>
          <w:tcPr>
            <w:tcW w:w="1240" w:type="dxa"/>
            <w:vMerge/>
            <w:tcBorders>
              <w:top w:val="nil"/>
              <w:left w:val="single" w:sz="4" w:space="0" w:color="8497B0"/>
              <w:bottom w:val="single" w:sz="4" w:space="0" w:color="8497B0"/>
              <w:right w:val="single" w:sz="4" w:space="0" w:color="8497B0"/>
            </w:tcBorders>
            <w:vAlign w:val="center"/>
            <w:hideMark/>
          </w:tcPr>
          <w:p w:rsidR="00B96426" w:rsidRPr="00B96426" w:rsidRDefault="00B96426" w:rsidP="00B96426">
            <w:pPr>
              <w:spacing w:after="0" w:line="240" w:lineRule="auto"/>
              <w:rPr>
                <w:rFonts w:ascii="Calibri" w:eastAsia="Times New Roman" w:hAnsi="Calibri" w:cs="Calibri"/>
                <w:i/>
                <w:iCs/>
                <w:color w:val="385623"/>
                <w:sz w:val="20"/>
                <w:szCs w:val="20"/>
                <w:lang w:val="en-GB" w:eastAsia="en-GB"/>
              </w:rPr>
            </w:pPr>
          </w:p>
        </w:tc>
      </w:tr>
      <w:tr w:rsidR="00B96426" w:rsidRPr="00B96426" w:rsidTr="00B96426">
        <w:trPr>
          <w:trHeight w:val="435"/>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Sum of programs</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6,584,649.0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6,381,882.0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7,156,956.0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color w:val="000000"/>
                <w:sz w:val="20"/>
                <w:szCs w:val="20"/>
                <w:lang w:val="en-GB" w:eastAsia="en-GB"/>
              </w:rPr>
            </w:pPr>
            <w:r w:rsidRPr="00B96426">
              <w:rPr>
                <w:rFonts w:ascii="Calibri" w:eastAsia="Times New Roman" w:hAnsi="Calibri" w:cs="Calibri"/>
                <w:b/>
                <w:bCs/>
                <w:color w:val="000000"/>
                <w:sz w:val="20"/>
                <w:szCs w:val="20"/>
                <w:lang w:val="en-GB" w:eastAsia="en-GB"/>
              </w:rPr>
              <w:t>7,816,802.0</w:t>
            </w:r>
          </w:p>
        </w:tc>
      </w:tr>
      <w:tr w:rsidR="00B96426" w:rsidRPr="00B96426" w:rsidTr="00B96426">
        <w:trPr>
          <w:trHeight w:val="435"/>
        </w:trPr>
        <w:tc>
          <w:tcPr>
            <w:tcW w:w="4920" w:type="dxa"/>
            <w:tcBorders>
              <w:top w:val="nil"/>
              <w:left w:val="single" w:sz="4" w:space="0" w:color="8497B0"/>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i/>
                <w:iCs/>
                <w:color w:val="548235"/>
                <w:sz w:val="20"/>
                <w:szCs w:val="20"/>
                <w:lang w:val="en-GB" w:eastAsia="en-GB"/>
              </w:rPr>
            </w:pPr>
            <w:r>
              <w:rPr>
                <w:rFonts w:ascii="Calibri" w:eastAsia="Times New Roman" w:hAnsi="Calibri" w:cs="Calibri"/>
                <w:b/>
                <w:bCs/>
                <w:i/>
                <w:iCs/>
                <w:color w:val="548235"/>
                <w:sz w:val="20"/>
                <w:szCs w:val="20"/>
                <w:lang w:val="en-GB" w:eastAsia="en-GB"/>
              </w:rPr>
              <w:t>including:</w:t>
            </w:r>
            <w:r w:rsidRPr="00B96426">
              <w:rPr>
                <w:rFonts w:ascii="Calibri" w:eastAsia="Times New Roman" w:hAnsi="Calibri" w:cs="Calibri"/>
                <w:b/>
                <w:bCs/>
                <w:i/>
                <w:iCs/>
                <w:color w:val="548235"/>
                <w:sz w:val="20"/>
                <w:szCs w:val="20"/>
                <w:lang w:val="en-GB" w:eastAsia="en-GB"/>
              </w:rPr>
              <w:t xml:space="preserve"> Sum of the New Policy Directions</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i/>
                <w:iCs/>
                <w:color w:val="548235"/>
                <w:sz w:val="20"/>
                <w:szCs w:val="20"/>
                <w:lang w:val="en-GB" w:eastAsia="en-GB"/>
              </w:rPr>
            </w:pPr>
            <w:r w:rsidRPr="00B96426">
              <w:rPr>
                <w:rFonts w:ascii="Calibri" w:eastAsia="Times New Roman" w:hAnsi="Calibri" w:cs="Calibri"/>
                <w:b/>
                <w:bCs/>
                <w:i/>
                <w:iCs/>
                <w:color w:val="548235"/>
                <w:sz w:val="20"/>
                <w:szCs w:val="20"/>
                <w:lang w:val="en-GB" w:eastAsia="en-GB"/>
              </w:rPr>
              <w:t>452,263.0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i/>
                <w:iCs/>
                <w:color w:val="548235"/>
                <w:sz w:val="20"/>
                <w:szCs w:val="20"/>
                <w:lang w:val="en-GB" w:eastAsia="en-GB"/>
              </w:rPr>
            </w:pPr>
            <w:r w:rsidRPr="00B96426">
              <w:rPr>
                <w:rFonts w:ascii="Calibri" w:eastAsia="Times New Roman" w:hAnsi="Calibri" w:cs="Calibri"/>
                <w:b/>
                <w:bCs/>
                <w:i/>
                <w:iCs/>
                <w:color w:val="548235"/>
                <w:sz w:val="20"/>
                <w:szCs w:val="20"/>
                <w:lang w:val="en-GB" w:eastAsia="en-GB"/>
              </w:rPr>
              <w:t>592,750.0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i/>
                <w:iCs/>
                <w:color w:val="548235"/>
                <w:sz w:val="20"/>
                <w:szCs w:val="20"/>
                <w:lang w:val="en-GB" w:eastAsia="en-GB"/>
              </w:rPr>
            </w:pPr>
            <w:r w:rsidRPr="00B96426">
              <w:rPr>
                <w:rFonts w:ascii="Calibri" w:eastAsia="Times New Roman" w:hAnsi="Calibri" w:cs="Calibri"/>
                <w:b/>
                <w:bCs/>
                <w:i/>
                <w:iCs/>
                <w:color w:val="548235"/>
                <w:sz w:val="20"/>
                <w:szCs w:val="20"/>
                <w:lang w:val="en-GB" w:eastAsia="en-GB"/>
              </w:rPr>
              <w:t>1,147,750.0</w:t>
            </w:r>
          </w:p>
        </w:tc>
        <w:tc>
          <w:tcPr>
            <w:tcW w:w="1240" w:type="dxa"/>
            <w:tcBorders>
              <w:top w:val="nil"/>
              <w:left w:val="nil"/>
              <w:bottom w:val="single" w:sz="4" w:space="0" w:color="8497B0"/>
              <w:right w:val="single" w:sz="4" w:space="0" w:color="8497B0"/>
            </w:tcBorders>
            <w:shd w:val="clear" w:color="auto" w:fill="auto"/>
            <w:vAlign w:val="center"/>
            <w:hideMark/>
          </w:tcPr>
          <w:p w:rsidR="00B96426" w:rsidRPr="00B96426" w:rsidRDefault="00B96426" w:rsidP="00B96426">
            <w:pPr>
              <w:spacing w:after="0" w:line="240" w:lineRule="auto"/>
              <w:jc w:val="center"/>
              <w:rPr>
                <w:rFonts w:ascii="Calibri" w:eastAsia="Times New Roman" w:hAnsi="Calibri" w:cs="Calibri"/>
                <w:b/>
                <w:bCs/>
                <w:i/>
                <w:iCs/>
                <w:color w:val="548235"/>
                <w:sz w:val="20"/>
                <w:szCs w:val="20"/>
                <w:lang w:val="en-GB" w:eastAsia="en-GB"/>
              </w:rPr>
            </w:pPr>
            <w:r w:rsidRPr="00B96426">
              <w:rPr>
                <w:rFonts w:ascii="Calibri" w:eastAsia="Times New Roman" w:hAnsi="Calibri" w:cs="Calibri"/>
                <w:b/>
                <w:bCs/>
                <w:i/>
                <w:iCs/>
                <w:color w:val="548235"/>
                <w:sz w:val="20"/>
                <w:szCs w:val="20"/>
                <w:lang w:val="en-GB" w:eastAsia="en-GB"/>
              </w:rPr>
              <w:t>1,452,750.0</w:t>
            </w:r>
          </w:p>
        </w:tc>
      </w:tr>
    </w:tbl>
    <w:p w:rsidR="00B96426" w:rsidRDefault="00B96426" w:rsidP="00B96426">
      <w:pPr>
        <w:rPr>
          <w:lang w:val="en-GB"/>
        </w:rPr>
      </w:pPr>
    </w:p>
    <w:p w:rsidR="00C055B5" w:rsidRPr="00877C7B" w:rsidRDefault="00C055B5" w:rsidP="00C055B5">
      <w:pPr>
        <w:spacing w:line="240" w:lineRule="auto"/>
        <w:rPr>
          <w:rFonts w:cstheme="minorHAnsi"/>
        </w:rPr>
      </w:pPr>
    </w:p>
    <w:p w:rsidR="00C055B5" w:rsidRPr="00877C7B" w:rsidRDefault="00C055B5" w:rsidP="00C055B5">
      <w:pPr>
        <w:spacing w:line="240" w:lineRule="auto"/>
        <w:rPr>
          <w:rFonts w:cstheme="minorHAnsi"/>
        </w:rPr>
      </w:pPr>
    </w:p>
    <w:p w:rsidR="00C055B5" w:rsidRPr="00877C7B" w:rsidRDefault="00C055B5" w:rsidP="00C055B5">
      <w:pPr>
        <w:pStyle w:val="Heading1"/>
        <w:jc w:val="center"/>
        <w:rPr>
          <w:rFonts w:asciiTheme="minorHAnsi" w:hAnsiTheme="minorHAnsi" w:cstheme="minorHAnsi"/>
          <w:b/>
          <w:sz w:val="26"/>
          <w:szCs w:val="26"/>
          <w:lang w:val="en-GB"/>
        </w:rPr>
      </w:pPr>
      <w:bookmarkStart w:id="17" w:name="_Toc58952859"/>
      <w:r w:rsidRPr="00877C7B">
        <w:rPr>
          <w:rFonts w:asciiTheme="minorHAnsi" w:hAnsiTheme="minorHAnsi" w:cstheme="minorHAnsi"/>
          <w:b/>
          <w:sz w:val="26"/>
          <w:szCs w:val="26"/>
          <w:lang w:val="en-GB"/>
        </w:rPr>
        <w:t>Annex N1 - New Template for the preparation of the Basic Data and Direction (BDD) document</w:t>
      </w:r>
      <w:bookmarkEnd w:id="17"/>
    </w:p>
    <w:p w:rsidR="00C055B5" w:rsidRPr="00877C7B" w:rsidRDefault="00C055B5" w:rsidP="00C055B5">
      <w:pPr>
        <w:rPr>
          <w:rFonts w:cstheme="minorHAnsi"/>
        </w:rPr>
      </w:pPr>
    </w:p>
    <w:tbl>
      <w:tblPr>
        <w:tblW w:w="5768" w:type="pct"/>
        <w:tblInd w:w="-905" w:type="dxa"/>
        <w:tblLook w:val="04A0" w:firstRow="1" w:lastRow="0" w:firstColumn="1" w:lastColumn="0" w:noHBand="0" w:noVBand="1"/>
      </w:tblPr>
      <w:tblGrid>
        <w:gridCol w:w="929"/>
        <w:gridCol w:w="3807"/>
        <w:gridCol w:w="622"/>
        <w:gridCol w:w="622"/>
        <w:gridCol w:w="622"/>
        <w:gridCol w:w="622"/>
        <w:gridCol w:w="622"/>
        <w:gridCol w:w="622"/>
        <w:gridCol w:w="622"/>
        <w:gridCol w:w="622"/>
        <w:gridCol w:w="1371"/>
      </w:tblGrid>
      <w:tr w:rsidR="00C055B5" w:rsidRPr="00877C7B" w:rsidTr="00C055B5">
        <w:trPr>
          <w:trHeight w:val="705"/>
          <w:tblHeader/>
        </w:trPr>
        <w:tc>
          <w:tcPr>
            <w:tcW w:w="494"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Program code</w:t>
            </w:r>
          </w:p>
        </w:tc>
        <w:tc>
          <w:tcPr>
            <w:tcW w:w="2066"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Title</w:t>
            </w:r>
            <w:r w:rsidRPr="00877C7B">
              <w:rPr>
                <w:rStyle w:val="FootnoteReference"/>
                <w:rFonts w:eastAsia="Times New Roman" w:cstheme="minorHAnsi"/>
                <w:b/>
                <w:bCs/>
                <w:color w:val="000000" w:themeColor="text1"/>
                <w:sz w:val="20"/>
              </w:rPr>
              <w:footnoteReference w:id="7"/>
            </w:r>
          </w:p>
        </w:tc>
        <w:tc>
          <w:tcPr>
            <w:tcW w:w="962" w:type="pct"/>
            <w:gridSpan w:val="4"/>
            <w:tcBorders>
              <w:top w:val="single" w:sz="4" w:space="0" w:color="A6A6A6"/>
              <w:left w:val="nil"/>
              <w:bottom w:val="single" w:sz="4" w:space="0" w:color="A6A6A6"/>
              <w:right w:val="single" w:sz="4" w:space="0" w:color="A6A6A6"/>
            </w:tcBorders>
            <w:shd w:val="clear" w:color="000000" w:fill="FFFFFF"/>
            <w:vAlign w:val="center"/>
            <w:hideMark/>
          </w:tcPr>
          <w:p w:rsidR="00C055B5" w:rsidRPr="00877C7B" w:rsidRDefault="00C055B5" w:rsidP="003C31A8">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 xml:space="preserve">Request for </w:t>
            </w:r>
            <w:r w:rsidR="003C31A8" w:rsidRPr="00877C7B">
              <w:rPr>
                <w:rFonts w:eastAsia="Times New Roman" w:cstheme="minorHAnsi"/>
                <w:b/>
                <w:bCs/>
                <w:color w:val="000000" w:themeColor="text1"/>
                <w:sz w:val="20"/>
              </w:rPr>
              <w:t>number of employees</w:t>
            </w:r>
          </w:p>
        </w:tc>
        <w:tc>
          <w:tcPr>
            <w:tcW w:w="966" w:type="pct"/>
            <w:gridSpan w:val="4"/>
            <w:tcBorders>
              <w:top w:val="single" w:sz="4" w:space="0" w:color="A6A6A6"/>
              <w:left w:val="nil"/>
              <w:bottom w:val="single" w:sz="4" w:space="0" w:color="A6A6A6"/>
              <w:right w:val="single" w:sz="4" w:space="0" w:color="A6A6A6"/>
            </w:tcBorders>
            <w:shd w:val="clear" w:color="000000" w:fill="FFFFFF"/>
            <w:vAlign w:val="center"/>
            <w:hideMark/>
          </w:tcPr>
          <w:p w:rsidR="00C055B5" w:rsidRPr="00877C7B" w:rsidRDefault="00C055B5" w:rsidP="003C31A8">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Request for</w:t>
            </w:r>
            <w:r w:rsidR="003C31A8" w:rsidRPr="00877C7B">
              <w:rPr>
                <w:rFonts w:eastAsia="Times New Roman" w:cstheme="minorHAnsi"/>
                <w:b/>
                <w:bCs/>
                <w:color w:val="000000" w:themeColor="text1"/>
                <w:sz w:val="20"/>
              </w:rPr>
              <w:t xml:space="preserve"> Budget</w:t>
            </w:r>
            <w:r w:rsidRPr="00877C7B">
              <w:rPr>
                <w:rFonts w:eastAsia="Times New Roman" w:cstheme="minorHAnsi"/>
                <w:b/>
                <w:bCs/>
                <w:color w:val="000000" w:themeColor="text1"/>
                <w:sz w:val="20"/>
              </w:rPr>
              <w:t xml:space="preserve">  </w:t>
            </w:r>
            <w:r w:rsidR="003C31A8" w:rsidRPr="00877C7B">
              <w:rPr>
                <w:rFonts w:eastAsia="Times New Roman" w:cstheme="minorHAnsi"/>
                <w:b/>
                <w:bCs/>
                <w:color w:val="000000" w:themeColor="text1"/>
                <w:sz w:val="20"/>
              </w:rPr>
              <w:t>Allocation</w:t>
            </w:r>
            <w:r w:rsidRPr="00877C7B">
              <w:rPr>
                <w:rFonts w:eastAsia="Times New Roman" w:cstheme="minorHAnsi"/>
                <w:b/>
                <w:bCs/>
                <w:color w:val="000000" w:themeColor="text1"/>
                <w:sz w:val="20"/>
              </w:rPr>
              <w:t xml:space="preserve"> (thousand GEL)</w:t>
            </w:r>
            <w:r w:rsidRPr="00877C7B">
              <w:rPr>
                <w:rStyle w:val="FootnoteReference"/>
                <w:rFonts w:eastAsia="Times New Roman" w:cstheme="minorHAnsi"/>
                <w:b/>
                <w:bCs/>
                <w:color w:val="000000" w:themeColor="text1"/>
                <w:sz w:val="20"/>
              </w:rPr>
              <w:footnoteReference w:id="8"/>
            </w:r>
          </w:p>
        </w:tc>
        <w:tc>
          <w:tcPr>
            <w:tcW w:w="512"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Comment/</w:t>
            </w:r>
            <w:r w:rsidRPr="00877C7B">
              <w:rPr>
                <w:rFonts w:eastAsia="Times New Roman" w:cstheme="minorHAnsi"/>
                <w:b/>
                <w:bCs/>
                <w:color w:val="000000" w:themeColor="text1"/>
                <w:sz w:val="20"/>
                <w:lang w:val="ka-GE"/>
              </w:rPr>
              <w:t xml:space="preserve"> </w:t>
            </w:r>
            <w:r w:rsidRPr="00877C7B">
              <w:rPr>
                <w:rFonts w:eastAsia="Times New Roman" w:cstheme="minorHAnsi"/>
                <w:b/>
                <w:bCs/>
                <w:color w:val="000000" w:themeColor="text1"/>
                <w:sz w:val="20"/>
              </w:rPr>
              <w:t>Legislative Requirement</w:t>
            </w:r>
            <w:r w:rsidRPr="00877C7B">
              <w:rPr>
                <w:rStyle w:val="FootnoteReference"/>
                <w:rFonts w:eastAsia="Times New Roman" w:cstheme="minorHAnsi"/>
                <w:b/>
                <w:bCs/>
                <w:color w:val="000000" w:themeColor="text1"/>
                <w:sz w:val="20"/>
              </w:rPr>
              <w:footnoteReference w:id="9"/>
            </w:r>
          </w:p>
        </w:tc>
      </w:tr>
      <w:tr w:rsidR="00C055B5" w:rsidRPr="00877C7B" w:rsidTr="00C055B5">
        <w:trPr>
          <w:trHeight w:val="337"/>
          <w:tblHeader/>
        </w:trPr>
        <w:tc>
          <w:tcPr>
            <w:tcW w:w="494" w:type="pct"/>
            <w:vMerge/>
            <w:tcBorders>
              <w:top w:val="single" w:sz="4" w:space="0" w:color="A6A6A6"/>
              <w:left w:val="single" w:sz="4" w:space="0" w:color="A6A6A6"/>
              <w:bottom w:val="single" w:sz="4" w:space="0" w:color="A6A6A6"/>
              <w:right w:val="single" w:sz="4" w:space="0" w:color="A6A6A6"/>
            </w:tcBorders>
            <w:vAlign w:val="center"/>
            <w:hideMark/>
          </w:tcPr>
          <w:p w:rsidR="00C055B5" w:rsidRPr="00877C7B" w:rsidRDefault="00C055B5" w:rsidP="00C055B5">
            <w:pPr>
              <w:spacing w:after="0"/>
              <w:rPr>
                <w:rFonts w:eastAsia="Times New Roman" w:cstheme="minorHAnsi"/>
                <w:b/>
                <w:bCs/>
                <w:color w:val="000000" w:themeColor="text1"/>
                <w:sz w:val="20"/>
              </w:rPr>
            </w:pPr>
          </w:p>
        </w:tc>
        <w:tc>
          <w:tcPr>
            <w:tcW w:w="2066" w:type="pct"/>
            <w:vMerge/>
            <w:tcBorders>
              <w:top w:val="single" w:sz="4" w:space="0" w:color="A6A6A6"/>
              <w:left w:val="single" w:sz="4" w:space="0" w:color="A6A6A6"/>
              <w:bottom w:val="single" w:sz="4" w:space="0" w:color="A6A6A6"/>
              <w:right w:val="single" w:sz="4" w:space="0" w:color="A6A6A6"/>
            </w:tcBorders>
            <w:vAlign w:val="center"/>
            <w:hideMark/>
          </w:tcPr>
          <w:p w:rsidR="00C055B5" w:rsidRPr="00877C7B" w:rsidRDefault="00C055B5" w:rsidP="00C055B5">
            <w:pPr>
              <w:spacing w:after="0"/>
              <w:rPr>
                <w:rFonts w:eastAsia="Times New Roman" w:cstheme="minorHAnsi"/>
                <w:b/>
                <w:bCs/>
                <w:color w:val="000000" w:themeColor="text1"/>
                <w:sz w:val="20"/>
              </w:rPr>
            </w:pP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2021 </w:t>
            </w: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2022 </w:t>
            </w: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202</w:t>
            </w:r>
            <w:r w:rsidRPr="00877C7B">
              <w:rPr>
                <w:rFonts w:cstheme="minorHAnsi"/>
                <w:color w:val="000000" w:themeColor="text1"/>
                <w:sz w:val="20"/>
              </w:rPr>
              <w:t>3</w:t>
            </w:r>
            <w:r w:rsidRPr="00877C7B">
              <w:rPr>
                <w:rFonts w:cstheme="minorHAnsi"/>
                <w:color w:val="000000" w:themeColor="text1"/>
                <w:sz w:val="20"/>
                <w:lang w:val="ka-GE"/>
              </w:rPr>
              <w:t xml:space="preserve"> </w:t>
            </w:r>
          </w:p>
        </w:tc>
        <w:tc>
          <w:tcPr>
            <w:tcW w:w="242"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2024 </w:t>
            </w: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2021 </w:t>
            </w: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2022 </w:t>
            </w:r>
          </w:p>
        </w:tc>
        <w:tc>
          <w:tcPr>
            <w:tcW w:w="240"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202</w:t>
            </w:r>
            <w:r w:rsidRPr="00877C7B">
              <w:rPr>
                <w:rFonts w:cstheme="minorHAnsi"/>
                <w:color w:val="000000" w:themeColor="text1"/>
                <w:sz w:val="20"/>
              </w:rPr>
              <w:t>3</w:t>
            </w:r>
            <w:r w:rsidRPr="00877C7B">
              <w:rPr>
                <w:rFonts w:cstheme="minorHAnsi"/>
                <w:color w:val="000000" w:themeColor="text1"/>
                <w:sz w:val="20"/>
                <w:lang w:val="ka-GE"/>
              </w:rPr>
              <w:t xml:space="preserve"> </w:t>
            </w:r>
          </w:p>
        </w:tc>
        <w:tc>
          <w:tcPr>
            <w:tcW w:w="246" w:type="pct"/>
            <w:tcBorders>
              <w:top w:val="nil"/>
              <w:left w:val="nil"/>
              <w:bottom w:val="single" w:sz="4" w:space="0" w:color="A6A6A6"/>
              <w:right w:val="single" w:sz="4" w:space="0" w:color="A6A6A6"/>
            </w:tcBorders>
            <w:shd w:val="clear" w:color="000000" w:fill="FFFFFF"/>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cstheme="minorHAnsi"/>
                <w:color w:val="000000" w:themeColor="text1"/>
                <w:sz w:val="20"/>
                <w:lang w:val="ka-GE"/>
              </w:rPr>
              <w:t xml:space="preserve">2024 </w:t>
            </w:r>
          </w:p>
        </w:tc>
        <w:tc>
          <w:tcPr>
            <w:tcW w:w="512" w:type="pct"/>
            <w:vMerge/>
            <w:tcBorders>
              <w:top w:val="single" w:sz="4" w:space="0" w:color="A6A6A6"/>
              <w:left w:val="single" w:sz="4" w:space="0" w:color="A6A6A6"/>
              <w:bottom w:val="single" w:sz="4" w:space="0" w:color="A6A6A6"/>
              <w:right w:val="single" w:sz="4" w:space="0" w:color="A6A6A6"/>
            </w:tcBorders>
            <w:vAlign w:val="center"/>
            <w:hideMark/>
          </w:tcPr>
          <w:p w:rsidR="00C055B5" w:rsidRPr="00877C7B" w:rsidRDefault="00C055B5" w:rsidP="00C055B5">
            <w:pPr>
              <w:spacing w:after="0"/>
              <w:rPr>
                <w:rFonts w:eastAsia="Times New Roman" w:cstheme="minorHAnsi"/>
                <w:b/>
                <w:bCs/>
                <w:color w:val="000000" w:themeColor="text1"/>
                <w:sz w:val="20"/>
              </w:rPr>
            </w:pPr>
          </w:p>
        </w:tc>
      </w:tr>
      <w:tr w:rsidR="00C055B5" w:rsidRPr="00877C7B" w:rsidTr="00C055B5">
        <w:trPr>
          <w:trHeight w:val="45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b/>
                <w:bCs/>
                <w:color w:val="000000" w:themeColor="text1"/>
                <w:sz w:val="20"/>
              </w:rPr>
            </w:pPr>
            <w:r w:rsidRPr="00877C7B">
              <w:rPr>
                <w:rFonts w:eastAsia="Times New Roman" w:cstheme="minorHAnsi"/>
                <w:b/>
                <w:bCs/>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First Level Budget Organization (spending unit)</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 </w:t>
            </w:r>
          </w:p>
        </w:tc>
      </w:tr>
      <w:tr w:rsidR="00C055B5" w:rsidRPr="00877C7B" w:rsidTr="00C055B5">
        <w:trPr>
          <w:trHeight w:val="46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1</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9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2</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8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3</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30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i/>
                <w:iCs/>
                <w:color w:val="000000" w:themeColor="text1"/>
                <w:sz w:val="20"/>
              </w:rPr>
            </w:pPr>
            <w:r w:rsidRPr="00877C7B">
              <w:rPr>
                <w:rFonts w:eastAsia="Times New Roman" w:cstheme="minorHAnsi"/>
                <w:i/>
                <w:iCs/>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634"/>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i/>
                <w:iCs/>
                <w:color w:val="000000" w:themeColor="text1"/>
                <w:sz w:val="20"/>
              </w:rPr>
            </w:pPr>
            <w:r w:rsidRPr="00877C7B">
              <w:rPr>
                <w:rFonts w:eastAsia="Times New Roman" w:cstheme="minorHAnsi"/>
                <w:i/>
                <w:iCs/>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Among which needed for Existing Policies</w:t>
            </w:r>
            <w:r w:rsidRPr="00877C7B">
              <w:rPr>
                <w:rStyle w:val="FootnoteReference"/>
                <w:rFonts w:eastAsia="Times New Roman" w:cstheme="minorHAnsi"/>
                <w:b/>
                <w:bCs/>
                <w:color w:val="000000" w:themeColor="text1"/>
                <w:sz w:val="20"/>
              </w:rPr>
              <w:footnoteReference w:id="10"/>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 </w:t>
            </w:r>
          </w:p>
        </w:tc>
      </w:tr>
      <w:tr w:rsidR="00C055B5" w:rsidRPr="00877C7B" w:rsidTr="00C055B5">
        <w:trPr>
          <w:trHeight w:val="46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 xml:space="preserve">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9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2</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8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3</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375"/>
        </w:trPr>
        <w:tc>
          <w:tcPr>
            <w:tcW w:w="494" w:type="pct"/>
            <w:tcBorders>
              <w:top w:val="nil"/>
              <w:left w:val="single" w:sz="4" w:space="0" w:color="A6A6A6"/>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922"/>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i/>
                <w:iCs/>
                <w:color w:val="000000" w:themeColor="text1"/>
                <w:sz w:val="20"/>
              </w:rPr>
            </w:pPr>
            <w:r w:rsidRPr="00877C7B">
              <w:rPr>
                <w:rFonts w:eastAsia="Times New Roman" w:cstheme="minorHAnsi"/>
                <w:i/>
                <w:iCs/>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Among which, New Policies envisaged in Georgian Legislation for 202</w:t>
            </w:r>
            <w:r w:rsidRPr="00877C7B">
              <w:rPr>
                <w:rFonts w:eastAsia="Times New Roman" w:cstheme="minorHAnsi"/>
                <w:b/>
                <w:bCs/>
                <w:color w:val="000000" w:themeColor="text1"/>
                <w:sz w:val="20"/>
                <w:lang w:val="ka-GE"/>
              </w:rPr>
              <w:t>1</w:t>
            </w:r>
            <w:r w:rsidRPr="00877C7B">
              <w:rPr>
                <w:rFonts w:eastAsia="Times New Roman" w:cstheme="minorHAnsi"/>
                <w:b/>
                <w:bCs/>
                <w:color w:val="000000" w:themeColor="text1"/>
                <w:sz w:val="20"/>
              </w:rPr>
              <w:t>-202</w:t>
            </w:r>
            <w:r w:rsidRPr="00877C7B">
              <w:rPr>
                <w:rFonts w:eastAsia="Times New Roman" w:cstheme="minorHAnsi"/>
                <w:b/>
                <w:bCs/>
                <w:color w:val="000000" w:themeColor="text1"/>
                <w:sz w:val="20"/>
                <w:lang w:val="ka-GE"/>
              </w:rPr>
              <w:t>4</w:t>
            </w:r>
            <w:r w:rsidRPr="00877C7B">
              <w:rPr>
                <w:rFonts w:eastAsia="Times New Roman" w:cstheme="minorHAnsi"/>
                <w:b/>
                <w:bCs/>
                <w:color w:val="000000" w:themeColor="text1"/>
                <w:sz w:val="20"/>
              </w:rPr>
              <w:t xml:space="preserve"> (if any</w:t>
            </w:r>
            <w:r w:rsidRPr="00877C7B">
              <w:rPr>
                <w:rStyle w:val="FootnoteReference"/>
                <w:rFonts w:eastAsia="Times New Roman" w:cstheme="minorHAnsi"/>
                <w:b/>
                <w:bCs/>
                <w:color w:val="000000" w:themeColor="text1"/>
                <w:sz w:val="20"/>
              </w:rPr>
              <w:t xml:space="preserve"> </w:t>
            </w:r>
            <w:r w:rsidRPr="00877C7B">
              <w:rPr>
                <w:rFonts w:eastAsia="Times New Roman" w:cstheme="minorHAnsi"/>
                <w:b/>
                <w:bCs/>
                <w:color w:val="000000" w:themeColor="text1"/>
                <w:sz w:val="20"/>
              </w:rPr>
              <w:t>)</w:t>
            </w:r>
            <w:r w:rsidRPr="00877C7B">
              <w:rPr>
                <w:rStyle w:val="FootnoteReference"/>
                <w:rFonts w:eastAsia="Times New Roman" w:cstheme="minorHAnsi"/>
                <w:b/>
                <w:bCs/>
                <w:color w:val="000000" w:themeColor="text1"/>
                <w:sz w:val="20"/>
              </w:rPr>
              <w:footnoteReference w:id="11"/>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 </w:t>
            </w:r>
          </w:p>
        </w:tc>
      </w:tr>
      <w:tr w:rsidR="00C055B5" w:rsidRPr="00877C7B" w:rsidTr="00C055B5">
        <w:trPr>
          <w:trHeight w:val="46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lang w:val="ka-GE"/>
              </w:rPr>
              <w:t xml:space="preserve"> </w:t>
            </w: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1</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9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2</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8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3</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107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i/>
                <w:iCs/>
                <w:color w:val="000000" w:themeColor="text1"/>
                <w:sz w:val="20"/>
              </w:rPr>
            </w:pPr>
            <w:r w:rsidRPr="00877C7B">
              <w:rPr>
                <w:rFonts w:eastAsia="Times New Roman" w:cstheme="minorHAnsi"/>
                <w:i/>
                <w:iCs/>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Among which demand for New policies not yet envisaged in the legislation for 2021-2024</w:t>
            </w:r>
            <w:r w:rsidRPr="00877C7B">
              <w:rPr>
                <w:rStyle w:val="FootnoteReference"/>
                <w:rFonts w:eastAsia="Times New Roman" w:cstheme="minorHAnsi"/>
                <w:b/>
                <w:bCs/>
                <w:color w:val="000000" w:themeColor="text1"/>
                <w:sz w:val="20"/>
              </w:rPr>
              <w:footnoteReference w:id="12"/>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0.0</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b/>
                <w:bCs/>
                <w:color w:val="000000" w:themeColor="text1"/>
                <w:sz w:val="20"/>
              </w:rPr>
            </w:pPr>
            <w:r w:rsidRPr="00877C7B">
              <w:rPr>
                <w:rFonts w:eastAsia="Times New Roman" w:cstheme="minorHAnsi"/>
                <w:b/>
                <w:bCs/>
                <w:color w:val="000000" w:themeColor="text1"/>
                <w:sz w:val="20"/>
              </w:rPr>
              <w:t> </w:t>
            </w:r>
          </w:p>
        </w:tc>
      </w:tr>
      <w:tr w:rsidR="00C055B5" w:rsidRPr="00877C7B" w:rsidTr="00C055B5">
        <w:trPr>
          <w:trHeight w:val="46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1</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9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2</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80"/>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3</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line="240" w:lineRule="auto"/>
              <w:rPr>
                <w:rFonts w:eastAsia="Times New Roman" w:cstheme="minorHAnsi"/>
                <w:color w:val="000000" w:themeColor="text1"/>
                <w:sz w:val="20"/>
              </w:rPr>
            </w:pPr>
            <w:r w:rsidRPr="00877C7B">
              <w:rPr>
                <w:rFonts w:eastAsia="Times New Roman" w:cstheme="minorHAnsi"/>
                <w:color w:val="000000" w:themeColor="text1"/>
                <w:sz w:val="20"/>
              </w:rPr>
              <w:t>Program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jc w:val="center"/>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vAlign w:val="center"/>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r w:rsidR="00C055B5" w:rsidRPr="00877C7B" w:rsidTr="00C055B5">
        <w:trPr>
          <w:trHeight w:val="435"/>
        </w:trPr>
        <w:tc>
          <w:tcPr>
            <w:tcW w:w="494" w:type="pct"/>
            <w:tcBorders>
              <w:top w:val="nil"/>
              <w:left w:val="single" w:sz="4" w:space="0" w:color="A6A6A6"/>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066"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2"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0"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246"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c>
          <w:tcPr>
            <w:tcW w:w="512" w:type="pct"/>
            <w:tcBorders>
              <w:top w:val="nil"/>
              <w:left w:val="nil"/>
              <w:bottom w:val="single" w:sz="4" w:space="0" w:color="A6A6A6"/>
              <w:right w:val="single" w:sz="4" w:space="0" w:color="A6A6A6"/>
            </w:tcBorders>
            <w:shd w:val="clear" w:color="000000" w:fill="FFFFFF"/>
            <w:noWrap/>
            <w:vAlign w:val="bottom"/>
            <w:hideMark/>
          </w:tcPr>
          <w:p w:rsidR="00C055B5" w:rsidRPr="00877C7B" w:rsidRDefault="00C055B5" w:rsidP="00C055B5">
            <w:pPr>
              <w:spacing w:after="0"/>
              <w:rPr>
                <w:rFonts w:eastAsia="Times New Roman" w:cstheme="minorHAnsi"/>
                <w:color w:val="000000" w:themeColor="text1"/>
                <w:sz w:val="20"/>
              </w:rPr>
            </w:pPr>
            <w:r w:rsidRPr="00877C7B">
              <w:rPr>
                <w:rFonts w:eastAsia="Times New Roman" w:cstheme="minorHAnsi"/>
                <w:color w:val="000000" w:themeColor="text1"/>
                <w:sz w:val="20"/>
              </w:rPr>
              <w:t> </w:t>
            </w:r>
          </w:p>
        </w:tc>
      </w:tr>
    </w:tbl>
    <w:p w:rsidR="00C055B5" w:rsidRPr="00877C7B" w:rsidRDefault="00C055B5" w:rsidP="00C055B5">
      <w:pPr>
        <w:spacing w:line="240" w:lineRule="auto"/>
        <w:rPr>
          <w:rFonts w:cstheme="minorHAnsi"/>
        </w:rPr>
      </w:pPr>
    </w:p>
    <w:p w:rsidR="002B4F56" w:rsidRPr="00877C7B" w:rsidRDefault="002B4F56" w:rsidP="002B4F56">
      <w:pPr>
        <w:pStyle w:val="NoSpacing"/>
        <w:spacing w:line="276" w:lineRule="auto"/>
        <w:ind w:firstLine="720"/>
        <w:jc w:val="both"/>
        <w:rPr>
          <w:rFonts w:cstheme="minorHAnsi"/>
          <w:b/>
        </w:rPr>
      </w:pPr>
    </w:p>
    <w:p w:rsidR="002B4F56" w:rsidRPr="00877C7B" w:rsidRDefault="002B4F56" w:rsidP="00544AC3">
      <w:pPr>
        <w:spacing w:after="240" w:line="240" w:lineRule="auto"/>
        <w:jc w:val="both"/>
        <w:rPr>
          <w:rFonts w:cstheme="minorHAnsi"/>
        </w:rPr>
      </w:pPr>
    </w:p>
    <w:sectPr w:rsidR="002B4F56" w:rsidRPr="00877C7B" w:rsidSect="000B5D76">
      <w:footerReference w:type="default" r:id="rId8"/>
      <w:footerReference w:type="first" r:id="rId9"/>
      <w:pgSz w:w="12240" w:h="15840"/>
      <w:pgMar w:top="1260" w:right="118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B1" w:rsidRDefault="006842B1" w:rsidP="009F60D8">
      <w:pPr>
        <w:spacing w:after="0" w:line="240" w:lineRule="auto"/>
      </w:pPr>
      <w:r>
        <w:separator/>
      </w:r>
    </w:p>
  </w:endnote>
  <w:endnote w:type="continuationSeparator" w:id="0">
    <w:p w:rsidR="006842B1" w:rsidRDefault="006842B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92235"/>
      <w:docPartObj>
        <w:docPartGallery w:val="Page Numbers (Bottom of Page)"/>
        <w:docPartUnique/>
      </w:docPartObj>
    </w:sdtPr>
    <w:sdtEndPr>
      <w:rPr>
        <w:noProof/>
      </w:rPr>
    </w:sdtEndPr>
    <w:sdtContent>
      <w:p w:rsidR="000B5D76" w:rsidRDefault="000B5D76">
        <w:pPr>
          <w:pStyle w:val="Footer"/>
          <w:jc w:val="right"/>
        </w:pPr>
        <w:r>
          <w:fldChar w:fldCharType="begin"/>
        </w:r>
        <w:r>
          <w:instrText xml:space="preserve"> PAGE   \* MERGEFORMAT </w:instrText>
        </w:r>
        <w:r>
          <w:fldChar w:fldCharType="separate"/>
        </w:r>
        <w:r w:rsidR="00950422">
          <w:rPr>
            <w:noProof/>
          </w:rPr>
          <w:t>3</w:t>
        </w:r>
        <w:r>
          <w:rPr>
            <w:noProof/>
          </w:rPr>
          <w:fldChar w:fldCharType="end"/>
        </w:r>
      </w:p>
    </w:sdtContent>
  </w:sdt>
  <w:p w:rsidR="00C055B5" w:rsidRDefault="00C0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B5" w:rsidRDefault="00C055B5">
    <w:pPr>
      <w:pStyle w:val="Footer"/>
      <w:jc w:val="right"/>
    </w:pPr>
  </w:p>
  <w:p w:rsidR="00C055B5" w:rsidRDefault="00C0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B1" w:rsidRDefault="006842B1" w:rsidP="009F60D8">
      <w:pPr>
        <w:spacing w:after="0" w:line="240" w:lineRule="auto"/>
      </w:pPr>
      <w:r>
        <w:separator/>
      </w:r>
    </w:p>
  </w:footnote>
  <w:footnote w:type="continuationSeparator" w:id="0">
    <w:p w:rsidR="006842B1" w:rsidRDefault="006842B1" w:rsidP="009F60D8">
      <w:pPr>
        <w:spacing w:after="0" w:line="240" w:lineRule="auto"/>
      </w:pPr>
      <w:r>
        <w:continuationSeparator/>
      </w:r>
    </w:p>
  </w:footnote>
  <w:footnote w:id="1">
    <w:p w:rsidR="00C055B5" w:rsidRPr="00041FA9" w:rsidRDefault="00C055B5">
      <w:pPr>
        <w:pStyle w:val="FootnoteText"/>
        <w:rPr>
          <w:rFonts w:cstheme="minorHAnsi"/>
          <w:color w:val="000000" w:themeColor="text1"/>
        </w:rPr>
      </w:pPr>
      <w:r w:rsidRPr="00041FA9">
        <w:rPr>
          <w:rStyle w:val="FootnoteReference"/>
          <w:rFonts w:cstheme="minorHAnsi"/>
          <w:color w:val="000000" w:themeColor="text1"/>
        </w:rPr>
        <w:footnoteRef/>
      </w:r>
      <w:r w:rsidRPr="00041FA9">
        <w:rPr>
          <w:rFonts w:cstheme="minorHAnsi"/>
          <w:color w:val="000000" w:themeColor="text1"/>
        </w:rPr>
        <w:t xml:space="preserve"> </w:t>
      </w:r>
      <w:hyperlink r:id="rId1" w:history="1">
        <w:r w:rsidRPr="00041FA9">
          <w:rPr>
            <w:rStyle w:val="Hyperlink"/>
            <w:rFonts w:cstheme="minorHAnsi"/>
            <w:color w:val="000000" w:themeColor="text1"/>
            <w:lang w:val="ka-GE"/>
          </w:rPr>
          <w:t>https://www.mof.ge/images/File/2020-monacemebi-mimartulebebi/13-07-2020/3.%20prognozebis%20shedareba%20(1).docx</w:t>
        </w:r>
      </w:hyperlink>
      <w:r w:rsidRPr="00041FA9">
        <w:rPr>
          <w:rStyle w:val="Hyperlink"/>
          <w:rFonts w:cstheme="minorHAnsi"/>
          <w:color w:val="000000" w:themeColor="text1"/>
        </w:rPr>
        <w:t xml:space="preserve"> </w:t>
      </w:r>
    </w:p>
  </w:footnote>
  <w:footnote w:id="2">
    <w:p w:rsidR="00C055B5" w:rsidRPr="00041FA9" w:rsidRDefault="00C055B5" w:rsidP="002B4F56">
      <w:pPr>
        <w:pStyle w:val="FootnoteText"/>
        <w:rPr>
          <w:rFonts w:cstheme="minorHAnsi"/>
          <w:color w:val="000000" w:themeColor="text1"/>
        </w:rPr>
      </w:pPr>
      <w:r w:rsidRPr="00041FA9">
        <w:rPr>
          <w:rStyle w:val="FootnoteReference"/>
          <w:rFonts w:cstheme="minorHAnsi"/>
          <w:color w:val="000000" w:themeColor="text1"/>
        </w:rPr>
        <w:footnoteRef/>
      </w:r>
      <w:r w:rsidRPr="00041FA9">
        <w:rPr>
          <w:rFonts w:cstheme="minorHAnsi"/>
          <w:color w:val="000000" w:themeColor="text1"/>
        </w:rPr>
        <w:t xml:space="preserve"> Includes</w:t>
      </w:r>
      <w:r w:rsidRPr="00041FA9">
        <w:rPr>
          <w:rFonts w:cstheme="minorHAnsi"/>
          <w:color w:val="000000" w:themeColor="text1"/>
          <w:lang w:val="ka-GE"/>
        </w:rPr>
        <w:t xml:space="preserve"> </w:t>
      </w:r>
      <w:r w:rsidRPr="00041FA9">
        <w:rPr>
          <w:rFonts w:cstheme="minorHAnsi"/>
          <w:color w:val="000000" w:themeColor="text1"/>
        </w:rPr>
        <w:t>resourc</w:t>
      </w:r>
      <w:r w:rsidR="00041FA9">
        <w:rPr>
          <w:rFonts w:cstheme="minorHAnsi"/>
          <w:color w:val="000000" w:themeColor="text1"/>
        </w:rPr>
        <w:t xml:space="preserve">es accumulated in STOPCOV Fund </w:t>
      </w:r>
      <w:r w:rsidRPr="00041FA9">
        <w:rPr>
          <w:rFonts w:cstheme="minorHAnsi"/>
          <w:color w:val="000000" w:themeColor="text1"/>
        </w:rPr>
        <w:t>– GEL 133.5 million.</w:t>
      </w:r>
    </w:p>
  </w:footnote>
  <w:footnote w:id="3">
    <w:p w:rsidR="00C055B5" w:rsidRPr="00041FA9" w:rsidRDefault="00C055B5" w:rsidP="00C055B5">
      <w:pPr>
        <w:pStyle w:val="FootnoteText"/>
        <w:rPr>
          <w:rFonts w:cstheme="minorHAnsi"/>
          <w:color w:val="000000" w:themeColor="text1"/>
          <w:lang w:val="en-GB"/>
        </w:rPr>
      </w:pPr>
      <w:r w:rsidRPr="00041FA9">
        <w:rPr>
          <w:rStyle w:val="FootnoteReference"/>
          <w:rFonts w:cstheme="minorHAnsi"/>
          <w:color w:val="000000" w:themeColor="text1"/>
        </w:rPr>
        <w:footnoteRef/>
      </w:r>
      <w:r w:rsidRPr="00041FA9">
        <w:rPr>
          <w:rFonts w:cstheme="minorHAnsi"/>
          <w:color w:val="000000" w:themeColor="text1"/>
        </w:rPr>
        <w:t xml:space="preserve"> </w:t>
      </w:r>
      <w:r w:rsidRPr="00041FA9">
        <w:rPr>
          <w:rFonts w:cstheme="minorHAnsi"/>
          <w:color w:val="000000" w:themeColor="text1"/>
          <w:lang w:val="en-GB"/>
        </w:rPr>
        <w:t xml:space="preserve">Annex to the Explanatory Note </w:t>
      </w:r>
    </w:p>
  </w:footnote>
  <w:footnote w:id="4">
    <w:p w:rsidR="00C055B5" w:rsidRPr="00041FA9" w:rsidRDefault="00C055B5" w:rsidP="00C055B5">
      <w:pPr>
        <w:pStyle w:val="FootnoteText"/>
        <w:rPr>
          <w:rFonts w:cstheme="minorHAnsi"/>
          <w:color w:val="000000" w:themeColor="text1"/>
          <w:lang w:val="en-GB"/>
        </w:rPr>
      </w:pPr>
      <w:r w:rsidRPr="00041FA9">
        <w:rPr>
          <w:rStyle w:val="FootnoteReference"/>
          <w:rFonts w:cstheme="minorHAnsi"/>
          <w:color w:val="000000" w:themeColor="text1"/>
        </w:rPr>
        <w:footnoteRef/>
      </w:r>
      <w:r w:rsidRPr="00041FA9">
        <w:rPr>
          <w:rFonts w:cstheme="minorHAnsi"/>
          <w:color w:val="000000" w:themeColor="text1"/>
        </w:rPr>
        <w:t xml:space="preserve"> </w:t>
      </w:r>
      <w:hyperlink r:id="rId2" w:history="1">
        <w:r w:rsidRPr="00041FA9">
          <w:rPr>
            <w:rStyle w:val="Hyperlink"/>
            <w:rFonts w:cstheme="minorHAnsi"/>
            <w:color w:val="000000" w:themeColor="text1"/>
          </w:rPr>
          <w:t>https://www.mof.ge/5355</w:t>
        </w:r>
      </w:hyperlink>
    </w:p>
  </w:footnote>
  <w:footnote w:id="5">
    <w:p w:rsidR="00C055B5" w:rsidRPr="00041FA9" w:rsidRDefault="00C055B5" w:rsidP="00C055B5">
      <w:pPr>
        <w:pStyle w:val="FootnoteText"/>
        <w:rPr>
          <w:rFonts w:cstheme="minorHAnsi"/>
          <w:color w:val="000000" w:themeColor="text1"/>
          <w:lang w:val="en-GB"/>
        </w:rPr>
      </w:pPr>
      <w:r w:rsidRPr="00041FA9">
        <w:rPr>
          <w:rStyle w:val="FootnoteReference"/>
          <w:rFonts w:cstheme="minorHAnsi"/>
          <w:color w:val="000000" w:themeColor="text1"/>
        </w:rPr>
        <w:footnoteRef/>
      </w:r>
      <w:r w:rsidRPr="00041FA9">
        <w:rPr>
          <w:rFonts w:cstheme="minorHAnsi"/>
          <w:color w:val="000000" w:themeColor="text1"/>
        </w:rPr>
        <w:t xml:space="preserve"> https://www.mof.ge/images/File/2021-biujeti/30-11-2020/danartebi/12.%202021-2024%20BDD.docx%2029.11.2020.docx</w:t>
      </w:r>
    </w:p>
  </w:footnote>
  <w:footnote w:id="6">
    <w:p w:rsidR="00C055B5" w:rsidRPr="00041FA9" w:rsidRDefault="00C055B5" w:rsidP="00C055B5">
      <w:pPr>
        <w:pStyle w:val="FootnoteText"/>
        <w:rPr>
          <w:rFonts w:cstheme="minorHAnsi"/>
          <w:color w:val="000000" w:themeColor="text1"/>
          <w:lang w:val="en-GB"/>
        </w:rPr>
      </w:pPr>
      <w:r w:rsidRPr="00041FA9">
        <w:rPr>
          <w:rStyle w:val="FootnoteReference"/>
          <w:rFonts w:cstheme="minorHAnsi"/>
          <w:color w:val="000000" w:themeColor="text1"/>
        </w:rPr>
        <w:footnoteRef/>
      </w:r>
      <w:r w:rsidRPr="00041FA9">
        <w:rPr>
          <w:rFonts w:cstheme="minorHAnsi"/>
          <w:color w:val="000000" w:themeColor="text1"/>
        </w:rPr>
        <w:t xml:space="preserve"> https://www.mof.ge/images/File/2021-biujeti/30-11-2020/danartebi/14.%20programuli%2028.11.2020.doc</w:t>
      </w:r>
    </w:p>
  </w:footnote>
  <w:footnote w:id="7">
    <w:p w:rsidR="00C055B5" w:rsidRPr="00041FA9" w:rsidRDefault="00C055B5" w:rsidP="00C055B5">
      <w:pPr>
        <w:pStyle w:val="FootnoteText"/>
        <w:jc w:val="both"/>
        <w:rPr>
          <w:rFonts w:cstheme="minorHAnsi"/>
          <w:color w:val="000000" w:themeColor="text1"/>
          <w:sz w:val="18"/>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lang w:val="ka-GE"/>
        </w:rPr>
        <w:t xml:space="preserve">Information should be filled in for 4 digit Program Code, i.e. for Programs only; </w:t>
      </w:r>
    </w:p>
  </w:footnote>
  <w:footnote w:id="8">
    <w:p w:rsidR="00C055B5" w:rsidRPr="00041FA9" w:rsidRDefault="00C055B5" w:rsidP="00C055B5">
      <w:pPr>
        <w:pStyle w:val="FootnoteText"/>
        <w:jc w:val="both"/>
        <w:rPr>
          <w:rFonts w:cstheme="minorHAnsi"/>
          <w:color w:val="000000" w:themeColor="text1"/>
          <w:sz w:val="18"/>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lang w:val="ka-GE"/>
        </w:rPr>
        <w:t>Request of appropriations ceilings does not include projects unde Investment Grants and Credits</w:t>
      </w:r>
      <w:r w:rsidRPr="00041FA9">
        <w:rPr>
          <w:rFonts w:cstheme="minorHAnsi"/>
          <w:color w:val="000000" w:themeColor="text1"/>
          <w:sz w:val="18"/>
          <w:lang w:val="ka-GE"/>
        </w:rPr>
        <w:t>;</w:t>
      </w:r>
    </w:p>
  </w:footnote>
  <w:footnote w:id="9">
    <w:p w:rsidR="00C055B5" w:rsidRPr="00041FA9" w:rsidRDefault="00C055B5" w:rsidP="00C055B5">
      <w:pPr>
        <w:pStyle w:val="FootnoteText"/>
        <w:jc w:val="both"/>
        <w:rPr>
          <w:rFonts w:cstheme="minorHAnsi"/>
          <w:color w:val="000000" w:themeColor="text1"/>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lang w:val="ka-GE"/>
        </w:rPr>
        <w:t>Should provide information and credentials of the Legislative Acts already enacted by the respective period of 2020 which implies setting up new policies or policy changes</w:t>
      </w:r>
      <w:r w:rsidRPr="00041FA9">
        <w:rPr>
          <w:rFonts w:cstheme="minorHAnsi"/>
          <w:color w:val="000000" w:themeColor="text1"/>
        </w:rPr>
        <w:t>. Additional Information should be provided about the details of the “New Policy”, including preliminary costing</w:t>
      </w:r>
      <w:r w:rsidRPr="00041FA9">
        <w:rPr>
          <w:rFonts w:cstheme="minorHAnsi"/>
          <w:color w:val="000000" w:themeColor="text1"/>
          <w:sz w:val="18"/>
          <w:lang w:val="ka-GE"/>
        </w:rPr>
        <w:t>;</w:t>
      </w:r>
    </w:p>
  </w:footnote>
  <w:footnote w:id="10">
    <w:p w:rsidR="00C055B5" w:rsidRPr="00041FA9" w:rsidRDefault="00C055B5" w:rsidP="00C055B5">
      <w:pPr>
        <w:pStyle w:val="FootnoteText"/>
        <w:jc w:val="both"/>
        <w:rPr>
          <w:rFonts w:cstheme="minorHAnsi"/>
          <w:color w:val="000000" w:themeColor="text1"/>
          <w:sz w:val="18"/>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lang w:val="ka-GE"/>
        </w:rPr>
        <w:t>Includes Appropriation request for the programs existing by the respective period of 2020, need to run business as usual</w:t>
      </w:r>
      <w:r w:rsidRPr="00041FA9">
        <w:rPr>
          <w:rFonts w:cstheme="minorHAnsi"/>
          <w:color w:val="000000" w:themeColor="text1"/>
          <w:sz w:val="18"/>
          <w:lang w:val="ka-GE"/>
        </w:rPr>
        <w:t>;</w:t>
      </w:r>
    </w:p>
  </w:footnote>
  <w:footnote w:id="11">
    <w:p w:rsidR="00C055B5" w:rsidRPr="00041FA9" w:rsidRDefault="00C055B5" w:rsidP="00C055B5">
      <w:pPr>
        <w:pStyle w:val="FootnoteText"/>
        <w:jc w:val="both"/>
        <w:rPr>
          <w:rFonts w:cstheme="minorHAnsi"/>
          <w:color w:val="000000" w:themeColor="text1"/>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lang w:val="ka-GE"/>
        </w:rPr>
        <w:t>Includes appropriation request for the programs related to setting up new policy or policy change, which has already been envisaged in the legislation and deadline for enforcement fall under the coming 4 year period</w:t>
      </w:r>
      <w:r w:rsidRPr="00041FA9">
        <w:rPr>
          <w:rFonts w:cstheme="minorHAnsi"/>
          <w:color w:val="000000" w:themeColor="text1"/>
          <w:sz w:val="18"/>
          <w:lang w:val="ka-GE"/>
        </w:rPr>
        <w:t>.</w:t>
      </w:r>
    </w:p>
  </w:footnote>
  <w:footnote w:id="12">
    <w:p w:rsidR="00C055B5" w:rsidRPr="00041FA9" w:rsidRDefault="00C055B5" w:rsidP="00C055B5">
      <w:pPr>
        <w:pStyle w:val="FootnoteText"/>
        <w:jc w:val="both"/>
        <w:rPr>
          <w:rFonts w:cstheme="minorHAnsi"/>
          <w:color w:val="000000" w:themeColor="text1"/>
          <w:lang w:val="ka-GE"/>
        </w:rPr>
      </w:pPr>
      <w:r w:rsidRPr="00041FA9">
        <w:rPr>
          <w:rStyle w:val="FootnoteReference"/>
          <w:rFonts w:cstheme="minorHAnsi"/>
          <w:color w:val="000000" w:themeColor="text1"/>
          <w:sz w:val="18"/>
        </w:rPr>
        <w:footnoteRef/>
      </w:r>
      <w:r w:rsidRPr="00041FA9">
        <w:rPr>
          <w:rFonts w:cstheme="minorHAnsi"/>
          <w:color w:val="000000" w:themeColor="text1"/>
          <w:sz w:val="18"/>
          <w:lang w:val="ka-GE"/>
        </w:rPr>
        <w:t xml:space="preserve"> </w:t>
      </w:r>
      <w:r w:rsidRPr="00041FA9">
        <w:rPr>
          <w:rFonts w:cstheme="minorHAnsi"/>
          <w:color w:val="000000" w:themeColor="text1"/>
        </w:rPr>
        <w:t>Includes Appropriation request for the new policies the Spending Units are working on as part of sector strategies or reform agendas, but there is no already existing deadline for their implementation.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BF5"/>
    <w:multiLevelType w:val="hybridMultilevel"/>
    <w:tmpl w:val="31447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9F115D4"/>
    <w:multiLevelType w:val="multilevel"/>
    <w:tmpl w:val="DD5E1986"/>
    <w:lvl w:ilvl="0">
      <w:start w:val="1"/>
      <w:numFmt w:val="decimal"/>
      <w:lvlText w:val="%1."/>
      <w:lvlJc w:val="left"/>
      <w:pPr>
        <w:ind w:left="1080" w:hanging="360"/>
      </w:pPr>
      <w:rPr>
        <w:rFonts w:hint="default"/>
        <w:sz w:val="24"/>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3A0B753B"/>
    <w:multiLevelType w:val="multilevel"/>
    <w:tmpl w:val="DD5E1986"/>
    <w:lvl w:ilvl="0">
      <w:start w:val="1"/>
      <w:numFmt w:val="decimal"/>
      <w:lvlText w:val="%1."/>
      <w:lvlJc w:val="left"/>
      <w:pPr>
        <w:ind w:left="1080" w:hanging="360"/>
      </w:pPr>
      <w:rPr>
        <w:rFonts w:hint="default"/>
        <w:sz w:val="24"/>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15:restartNumberingAfterBreak="0">
    <w:nsid w:val="423C35F6"/>
    <w:multiLevelType w:val="hybridMultilevel"/>
    <w:tmpl w:val="CD38720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multilevel"/>
    <w:tmpl w:val="C3EE1EB2"/>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E3E46A5"/>
    <w:multiLevelType w:val="hybridMultilevel"/>
    <w:tmpl w:val="F064C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877912"/>
    <w:multiLevelType w:val="multilevel"/>
    <w:tmpl w:val="E208D6AA"/>
    <w:lvl w:ilvl="0">
      <w:start w:val="1"/>
      <w:numFmt w:val="decimal"/>
      <w:lvlText w:val="%1."/>
      <w:lvlJc w:val="left"/>
      <w:pPr>
        <w:ind w:left="1080" w:hanging="360"/>
      </w:pPr>
      <w:rPr>
        <w:rFonts w:asciiTheme="minorHAnsi" w:eastAsiaTheme="majorEastAsia" w:hAnsiTheme="minorHAnsi" w:cstheme="minorHAnsi"/>
        <w:sz w:val="24"/>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15:restartNumberingAfterBreak="0">
    <w:nsid w:val="7A335A88"/>
    <w:multiLevelType w:val="hybridMultilevel"/>
    <w:tmpl w:val="D0F4B1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D17EB3"/>
    <w:multiLevelType w:val="hybridMultilevel"/>
    <w:tmpl w:val="76426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4"/>
  </w:num>
  <w:num w:numId="5">
    <w:abstractNumId w:val="2"/>
  </w:num>
  <w:num w:numId="6">
    <w:abstractNumId w:val="1"/>
  </w:num>
  <w:num w:numId="7">
    <w:abstractNumId w:val="6"/>
  </w:num>
  <w:num w:numId="8">
    <w:abstractNumId w:val="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0D00"/>
    <w:rsid w:val="000062D0"/>
    <w:rsid w:val="00013972"/>
    <w:rsid w:val="00016453"/>
    <w:rsid w:val="00017173"/>
    <w:rsid w:val="00017ED7"/>
    <w:rsid w:val="0002038B"/>
    <w:rsid w:val="00024261"/>
    <w:rsid w:val="00027D57"/>
    <w:rsid w:val="00031289"/>
    <w:rsid w:val="000342E8"/>
    <w:rsid w:val="00037A9D"/>
    <w:rsid w:val="0004003E"/>
    <w:rsid w:val="00040C80"/>
    <w:rsid w:val="00041516"/>
    <w:rsid w:val="00041FA9"/>
    <w:rsid w:val="000507EC"/>
    <w:rsid w:val="00051C09"/>
    <w:rsid w:val="00055055"/>
    <w:rsid w:val="00061782"/>
    <w:rsid w:val="000700DC"/>
    <w:rsid w:val="000735B3"/>
    <w:rsid w:val="00073F2C"/>
    <w:rsid w:val="00074809"/>
    <w:rsid w:val="00081D91"/>
    <w:rsid w:val="00091428"/>
    <w:rsid w:val="00094934"/>
    <w:rsid w:val="00095692"/>
    <w:rsid w:val="000B162B"/>
    <w:rsid w:val="000B4089"/>
    <w:rsid w:val="000B53FD"/>
    <w:rsid w:val="000B5D76"/>
    <w:rsid w:val="000B6AE4"/>
    <w:rsid w:val="000C004C"/>
    <w:rsid w:val="000C1952"/>
    <w:rsid w:val="000C3985"/>
    <w:rsid w:val="000C5D40"/>
    <w:rsid w:val="000C7E80"/>
    <w:rsid w:val="000D1ED1"/>
    <w:rsid w:val="000D7C06"/>
    <w:rsid w:val="000D7F23"/>
    <w:rsid w:val="000E62E9"/>
    <w:rsid w:val="000F09D1"/>
    <w:rsid w:val="000F104E"/>
    <w:rsid w:val="0010193C"/>
    <w:rsid w:val="00101F50"/>
    <w:rsid w:val="0010545D"/>
    <w:rsid w:val="00106629"/>
    <w:rsid w:val="00106BA1"/>
    <w:rsid w:val="001116C5"/>
    <w:rsid w:val="00112373"/>
    <w:rsid w:val="0011650A"/>
    <w:rsid w:val="001203DB"/>
    <w:rsid w:val="0012199F"/>
    <w:rsid w:val="001252D0"/>
    <w:rsid w:val="001344A0"/>
    <w:rsid w:val="00140593"/>
    <w:rsid w:val="00142836"/>
    <w:rsid w:val="001601C1"/>
    <w:rsid w:val="00160CFD"/>
    <w:rsid w:val="0016442C"/>
    <w:rsid w:val="00167AD9"/>
    <w:rsid w:val="00172AEE"/>
    <w:rsid w:val="00176389"/>
    <w:rsid w:val="00183227"/>
    <w:rsid w:val="00187569"/>
    <w:rsid w:val="001875B2"/>
    <w:rsid w:val="00194E3F"/>
    <w:rsid w:val="00194F87"/>
    <w:rsid w:val="00197258"/>
    <w:rsid w:val="001A2070"/>
    <w:rsid w:val="001A603A"/>
    <w:rsid w:val="001B1BB4"/>
    <w:rsid w:val="001C34E6"/>
    <w:rsid w:val="001D560F"/>
    <w:rsid w:val="001D7123"/>
    <w:rsid w:val="001E51DE"/>
    <w:rsid w:val="001F08E6"/>
    <w:rsid w:val="001F27E9"/>
    <w:rsid w:val="001F4868"/>
    <w:rsid w:val="00201945"/>
    <w:rsid w:val="00204779"/>
    <w:rsid w:val="002066CF"/>
    <w:rsid w:val="002141D8"/>
    <w:rsid w:val="0021708C"/>
    <w:rsid w:val="00221F9C"/>
    <w:rsid w:val="00240C12"/>
    <w:rsid w:val="0024129C"/>
    <w:rsid w:val="0024220D"/>
    <w:rsid w:val="002429D0"/>
    <w:rsid w:val="0024333D"/>
    <w:rsid w:val="00243CDF"/>
    <w:rsid w:val="002462F4"/>
    <w:rsid w:val="002505F7"/>
    <w:rsid w:val="0025227A"/>
    <w:rsid w:val="00252D24"/>
    <w:rsid w:val="00276E9F"/>
    <w:rsid w:val="002807FA"/>
    <w:rsid w:val="00280D12"/>
    <w:rsid w:val="002B0106"/>
    <w:rsid w:val="002B20A0"/>
    <w:rsid w:val="002B3D2A"/>
    <w:rsid w:val="002B4F56"/>
    <w:rsid w:val="002C3846"/>
    <w:rsid w:val="002D2F29"/>
    <w:rsid w:val="002D3EA6"/>
    <w:rsid w:val="002E1420"/>
    <w:rsid w:val="002E4277"/>
    <w:rsid w:val="002F0719"/>
    <w:rsid w:val="002F127D"/>
    <w:rsid w:val="002F7CA2"/>
    <w:rsid w:val="003048EB"/>
    <w:rsid w:val="00306448"/>
    <w:rsid w:val="00311AE3"/>
    <w:rsid w:val="00321DF9"/>
    <w:rsid w:val="00322417"/>
    <w:rsid w:val="00322A46"/>
    <w:rsid w:val="00322C09"/>
    <w:rsid w:val="0032381D"/>
    <w:rsid w:val="00335BCF"/>
    <w:rsid w:val="00336F8C"/>
    <w:rsid w:val="00340608"/>
    <w:rsid w:val="003419E7"/>
    <w:rsid w:val="0034327C"/>
    <w:rsid w:val="00355B59"/>
    <w:rsid w:val="0035700F"/>
    <w:rsid w:val="00357D70"/>
    <w:rsid w:val="00360521"/>
    <w:rsid w:val="00365108"/>
    <w:rsid w:val="003663AE"/>
    <w:rsid w:val="00366633"/>
    <w:rsid w:val="00366D57"/>
    <w:rsid w:val="00372AA9"/>
    <w:rsid w:val="003813E0"/>
    <w:rsid w:val="00391A33"/>
    <w:rsid w:val="00393A09"/>
    <w:rsid w:val="00395712"/>
    <w:rsid w:val="003A3D02"/>
    <w:rsid w:val="003B3497"/>
    <w:rsid w:val="003B3B55"/>
    <w:rsid w:val="003C126E"/>
    <w:rsid w:val="003C31A8"/>
    <w:rsid w:val="003C3FC5"/>
    <w:rsid w:val="003C6E85"/>
    <w:rsid w:val="003C7EC6"/>
    <w:rsid w:val="003D244E"/>
    <w:rsid w:val="003D36A8"/>
    <w:rsid w:val="003D3F9E"/>
    <w:rsid w:val="003D61C1"/>
    <w:rsid w:val="003D62EE"/>
    <w:rsid w:val="003D6EED"/>
    <w:rsid w:val="003D77D7"/>
    <w:rsid w:val="003E283F"/>
    <w:rsid w:val="003E2D90"/>
    <w:rsid w:val="003E315C"/>
    <w:rsid w:val="003E32B3"/>
    <w:rsid w:val="003E3E64"/>
    <w:rsid w:val="003E631B"/>
    <w:rsid w:val="003E7529"/>
    <w:rsid w:val="003F4774"/>
    <w:rsid w:val="003F596F"/>
    <w:rsid w:val="003F72DA"/>
    <w:rsid w:val="0040002B"/>
    <w:rsid w:val="00401126"/>
    <w:rsid w:val="00403068"/>
    <w:rsid w:val="004061D7"/>
    <w:rsid w:val="004077A9"/>
    <w:rsid w:val="0041284B"/>
    <w:rsid w:val="00420EC8"/>
    <w:rsid w:val="004218A3"/>
    <w:rsid w:val="00425FC5"/>
    <w:rsid w:val="0042677B"/>
    <w:rsid w:val="00432FF5"/>
    <w:rsid w:val="00434769"/>
    <w:rsid w:val="004349B3"/>
    <w:rsid w:val="00434F02"/>
    <w:rsid w:val="00436064"/>
    <w:rsid w:val="00441633"/>
    <w:rsid w:val="00444CD7"/>
    <w:rsid w:val="00445AD7"/>
    <w:rsid w:val="00452A6C"/>
    <w:rsid w:val="00452AC8"/>
    <w:rsid w:val="004538E6"/>
    <w:rsid w:val="004577A4"/>
    <w:rsid w:val="00457F1D"/>
    <w:rsid w:val="004654A1"/>
    <w:rsid w:val="004725B7"/>
    <w:rsid w:val="00474F7F"/>
    <w:rsid w:val="00475FE9"/>
    <w:rsid w:val="00476079"/>
    <w:rsid w:val="004A1163"/>
    <w:rsid w:val="004A2ED7"/>
    <w:rsid w:val="004A568A"/>
    <w:rsid w:val="004B6710"/>
    <w:rsid w:val="004B6789"/>
    <w:rsid w:val="004B6AA1"/>
    <w:rsid w:val="004C33B5"/>
    <w:rsid w:val="004C5032"/>
    <w:rsid w:val="004D368C"/>
    <w:rsid w:val="004D4A3F"/>
    <w:rsid w:val="004D54B1"/>
    <w:rsid w:val="004E4CDA"/>
    <w:rsid w:val="004E569B"/>
    <w:rsid w:val="004E7C2C"/>
    <w:rsid w:val="004F38FD"/>
    <w:rsid w:val="004F663E"/>
    <w:rsid w:val="004F685D"/>
    <w:rsid w:val="004F6F62"/>
    <w:rsid w:val="00500AE5"/>
    <w:rsid w:val="005025C2"/>
    <w:rsid w:val="0050277D"/>
    <w:rsid w:val="0050358D"/>
    <w:rsid w:val="0050731C"/>
    <w:rsid w:val="00510A8E"/>
    <w:rsid w:val="00514790"/>
    <w:rsid w:val="005166A3"/>
    <w:rsid w:val="00516B6F"/>
    <w:rsid w:val="00521A52"/>
    <w:rsid w:val="005237C7"/>
    <w:rsid w:val="0052418D"/>
    <w:rsid w:val="00526BEC"/>
    <w:rsid w:val="005271AE"/>
    <w:rsid w:val="00532C3B"/>
    <w:rsid w:val="00537115"/>
    <w:rsid w:val="00543F4B"/>
    <w:rsid w:val="00544AC3"/>
    <w:rsid w:val="005472B6"/>
    <w:rsid w:val="00552D21"/>
    <w:rsid w:val="00561553"/>
    <w:rsid w:val="00573E7F"/>
    <w:rsid w:val="00582884"/>
    <w:rsid w:val="0058422D"/>
    <w:rsid w:val="00587368"/>
    <w:rsid w:val="0059081A"/>
    <w:rsid w:val="00590EB8"/>
    <w:rsid w:val="005919D2"/>
    <w:rsid w:val="00591D1A"/>
    <w:rsid w:val="00591EC2"/>
    <w:rsid w:val="00593B76"/>
    <w:rsid w:val="005A14D9"/>
    <w:rsid w:val="005B1C09"/>
    <w:rsid w:val="005B348E"/>
    <w:rsid w:val="005B515A"/>
    <w:rsid w:val="005B75B7"/>
    <w:rsid w:val="005C0EF7"/>
    <w:rsid w:val="005C2194"/>
    <w:rsid w:val="005C3422"/>
    <w:rsid w:val="005C3DED"/>
    <w:rsid w:val="005C49CA"/>
    <w:rsid w:val="005C5E85"/>
    <w:rsid w:val="005C695D"/>
    <w:rsid w:val="005C7DFB"/>
    <w:rsid w:val="005C7E26"/>
    <w:rsid w:val="005D1023"/>
    <w:rsid w:val="005E0AEF"/>
    <w:rsid w:val="005E0FF7"/>
    <w:rsid w:val="005E1D74"/>
    <w:rsid w:val="005E5F9D"/>
    <w:rsid w:val="005E6920"/>
    <w:rsid w:val="005F3397"/>
    <w:rsid w:val="006004B7"/>
    <w:rsid w:val="0060323E"/>
    <w:rsid w:val="00610C57"/>
    <w:rsid w:val="0061130B"/>
    <w:rsid w:val="00614973"/>
    <w:rsid w:val="006371E0"/>
    <w:rsid w:val="00637FC7"/>
    <w:rsid w:val="00640A82"/>
    <w:rsid w:val="00641E58"/>
    <w:rsid w:val="006427E4"/>
    <w:rsid w:val="00642D0C"/>
    <w:rsid w:val="0064560E"/>
    <w:rsid w:val="00647038"/>
    <w:rsid w:val="00650744"/>
    <w:rsid w:val="00653E16"/>
    <w:rsid w:val="006609EF"/>
    <w:rsid w:val="00663657"/>
    <w:rsid w:val="00665BFD"/>
    <w:rsid w:val="00667FCF"/>
    <w:rsid w:val="0067177F"/>
    <w:rsid w:val="0067433B"/>
    <w:rsid w:val="00674E6F"/>
    <w:rsid w:val="00676F8A"/>
    <w:rsid w:val="0068207E"/>
    <w:rsid w:val="006842B1"/>
    <w:rsid w:val="00685693"/>
    <w:rsid w:val="006904FA"/>
    <w:rsid w:val="00693CED"/>
    <w:rsid w:val="00693F22"/>
    <w:rsid w:val="006A22AE"/>
    <w:rsid w:val="006A3D51"/>
    <w:rsid w:val="006A41A4"/>
    <w:rsid w:val="006C2752"/>
    <w:rsid w:val="006C47A8"/>
    <w:rsid w:val="006C6BD5"/>
    <w:rsid w:val="006D2445"/>
    <w:rsid w:val="006D3986"/>
    <w:rsid w:val="006E2361"/>
    <w:rsid w:val="006E250D"/>
    <w:rsid w:val="006E76DE"/>
    <w:rsid w:val="006F0703"/>
    <w:rsid w:val="006F0D69"/>
    <w:rsid w:val="006F1DBB"/>
    <w:rsid w:val="00707044"/>
    <w:rsid w:val="0071574F"/>
    <w:rsid w:val="0074068C"/>
    <w:rsid w:val="00741617"/>
    <w:rsid w:val="007417A8"/>
    <w:rsid w:val="00742457"/>
    <w:rsid w:val="00743CA7"/>
    <w:rsid w:val="007473C7"/>
    <w:rsid w:val="007526FA"/>
    <w:rsid w:val="0075784D"/>
    <w:rsid w:val="00782ECE"/>
    <w:rsid w:val="00785FB9"/>
    <w:rsid w:val="00787427"/>
    <w:rsid w:val="007A2CFD"/>
    <w:rsid w:val="007A5447"/>
    <w:rsid w:val="007B2B0E"/>
    <w:rsid w:val="007B6E63"/>
    <w:rsid w:val="007C687D"/>
    <w:rsid w:val="007D6F01"/>
    <w:rsid w:val="007D7CE4"/>
    <w:rsid w:val="007E4307"/>
    <w:rsid w:val="007E4D42"/>
    <w:rsid w:val="007F16D0"/>
    <w:rsid w:val="007F253A"/>
    <w:rsid w:val="007F5282"/>
    <w:rsid w:val="007F539E"/>
    <w:rsid w:val="007F5447"/>
    <w:rsid w:val="007F5E17"/>
    <w:rsid w:val="007F66C1"/>
    <w:rsid w:val="0080412E"/>
    <w:rsid w:val="00805783"/>
    <w:rsid w:val="00806EBA"/>
    <w:rsid w:val="0080791C"/>
    <w:rsid w:val="008110AF"/>
    <w:rsid w:val="00816F7E"/>
    <w:rsid w:val="00821A2A"/>
    <w:rsid w:val="0082494C"/>
    <w:rsid w:val="008261EB"/>
    <w:rsid w:val="008342A1"/>
    <w:rsid w:val="00834FD5"/>
    <w:rsid w:val="00836FD1"/>
    <w:rsid w:val="00840E47"/>
    <w:rsid w:val="00843136"/>
    <w:rsid w:val="00846A13"/>
    <w:rsid w:val="00847420"/>
    <w:rsid w:val="00850F31"/>
    <w:rsid w:val="008542D4"/>
    <w:rsid w:val="00857B5A"/>
    <w:rsid w:val="00862507"/>
    <w:rsid w:val="008644B4"/>
    <w:rsid w:val="00865058"/>
    <w:rsid w:val="0087182B"/>
    <w:rsid w:val="00873562"/>
    <w:rsid w:val="00877C7B"/>
    <w:rsid w:val="00894E1B"/>
    <w:rsid w:val="008A1D1D"/>
    <w:rsid w:val="008B266B"/>
    <w:rsid w:val="008B430C"/>
    <w:rsid w:val="008B73C0"/>
    <w:rsid w:val="008B7AC7"/>
    <w:rsid w:val="008C3066"/>
    <w:rsid w:val="008C5E23"/>
    <w:rsid w:val="008C6254"/>
    <w:rsid w:val="008C6D99"/>
    <w:rsid w:val="008D2BE3"/>
    <w:rsid w:val="008E3542"/>
    <w:rsid w:val="008E3F5D"/>
    <w:rsid w:val="008E58FE"/>
    <w:rsid w:val="008E623D"/>
    <w:rsid w:val="008F384A"/>
    <w:rsid w:val="00901D2D"/>
    <w:rsid w:val="00905BD2"/>
    <w:rsid w:val="009108FC"/>
    <w:rsid w:val="00914B03"/>
    <w:rsid w:val="009161A4"/>
    <w:rsid w:val="00921598"/>
    <w:rsid w:val="009348D2"/>
    <w:rsid w:val="009367C9"/>
    <w:rsid w:val="00936CC0"/>
    <w:rsid w:val="00936FE4"/>
    <w:rsid w:val="00937667"/>
    <w:rsid w:val="009377D0"/>
    <w:rsid w:val="00940AC0"/>
    <w:rsid w:val="009434F0"/>
    <w:rsid w:val="00945392"/>
    <w:rsid w:val="00950422"/>
    <w:rsid w:val="00952986"/>
    <w:rsid w:val="00954FB1"/>
    <w:rsid w:val="009661F8"/>
    <w:rsid w:val="0098503D"/>
    <w:rsid w:val="00986ED0"/>
    <w:rsid w:val="00993A61"/>
    <w:rsid w:val="00995E69"/>
    <w:rsid w:val="00997A30"/>
    <w:rsid w:val="009A39FA"/>
    <w:rsid w:val="009B2991"/>
    <w:rsid w:val="009B3A95"/>
    <w:rsid w:val="009C50FE"/>
    <w:rsid w:val="009C5631"/>
    <w:rsid w:val="009C590B"/>
    <w:rsid w:val="009D32A7"/>
    <w:rsid w:val="009D4E93"/>
    <w:rsid w:val="009D6A8B"/>
    <w:rsid w:val="009E0E41"/>
    <w:rsid w:val="009F05E4"/>
    <w:rsid w:val="009F3054"/>
    <w:rsid w:val="009F60D8"/>
    <w:rsid w:val="00A011F3"/>
    <w:rsid w:val="00A05BA2"/>
    <w:rsid w:val="00A1186F"/>
    <w:rsid w:val="00A13978"/>
    <w:rsid w:val="00A146F5"/>
    <w:rsid w:val="00A17B8A"/>
    <w:rsid w:val="00A20AC0"/>
    <w:rsid w:val="00A21683"/>
    <w:rsid w:val="00A22232"/>
    <w:rsid w:val="00A30D38"/>
    <w:rsid w:val="00A35C7D"/>
    <w:rsid w:val="00A378D5"/>
    <w:rsid w:val="00A42A9E"/>
    <w:rsid w:val="00A4493B"/>
    <w:rsid w:val="00A56744"/>
    <w:rsid w:val="00A63808"/>
    <w:rsid w:val="00A6703D"/>
    <w:rsid w:val="00A7150F"/>
    <w:rsid w:val="00A75651"/>
    <w:rsid w:val="00A77655"/>
    <w:rsid w:val="00A816E3"/>
    <w:rsid w:val="00A8293B"/>
    <w:rsid w:val="00A838D1"/>
    <w:rsid w:val="00A84CB2"/>
    <w:rsid w:val="00A909CE"/>
    <w:rsid w:val="00A90BE4"/>
    <w:rsid w:val="00A91134"/>
    <w:rsid w:val="00A95AE5"/>
    <w:rsid w:val="00AA16BE"/>
    <w:rsid w:val="00AA4676"/>
    <w:rsid w:val="00AA5CE3"/>
    <w:rsid w:val="00AC1391"/>
    <w:rsid w:val="00AC2551"/>
    <w:rsid w:val="00AD155B"/>
    <w:rsid w:val="00AD4D9F"/>
    <w:rsid w:val="00AD5491"/>
    <w:rsid w:val="00AE1B5E"/>
    <w:rsid w:val="00AE7BD3"/>
    <w:rsid w:val="00AF3C74"/>
    <w:rsid w:val="00AF5A8C"/>
    <w:rsid w:val="00AF6BB5"/>
    <w:rsid w:val="00B0075B"/>
    <w:rsid w:val="00B00A69"/>
    <w:rsid w:val="00B020D2"/>
    <w:rsid w:val="00B048FE"/>
    <w:rsid w:val="00B10C51"/>
    <w:rsid w:val="00B110BF"/>
    <w:rsid w:val="00B11DBC"/>
    <w:rsid w:val="00B13438"/>
    <w:rsid w:val="00B14474"/>
    <w:rsid w:val="00B204EC"/>
    <w:rsid w:val="00B217EF"/>
    <w:rsid w:val="00B23CB5"/>
    <w:rsid w:val="00B30B4F"/>
    <w:rsid w:val="00B32541"/>
    <w:rsid w:val="00B34427"/>
    <w:rsid w:val="00B346BD"/>
    <w:rsid w:val="00B36B2A"/>
    <w:rsid w:val="00B37B76"/>
    <w:rsid w:val="00B40D6D"/>
    <w:rsid w:val="00B43B65"/>
    <w:rsid w:val="00B45226"/>
    <w:rsid w:val="00B5229F"/>
    <w:rsid w:val="00B554A1"/>
    <w:rsid w:val="00B55F23"/>
    <w:rsid w:val="00B61517"/>
    <w:rsid w:val="00B63F7D"/>
    <w:rsid w:val="00B64161"/>
    <w:rsid w:val="00B652A8"/>
    <w:rsid w:val="00B65411"/>
    <w:rsid w:val="00B6704B"/>
    <w:rsid w:val="00B704B2"/>
    <w:rsid w:val="00B705AC"/>
    <w:rsid w:val="00B753F7"/>
    <w:rsid w:val="00B80012"/>
    <w:rsid w:val="00B82ABB"/>
    <w:rsid w:val="00B87C65"/>
    <w:rsid w:val="00B90F70"/>
    <w:rsid w:val="00B92C40"/>
    <w:rsid w:val="00B96426"/>
    <w:rsid w:val="00BA1519"/>
    <w:rsid w:val="00BA1C51"/>
    <w:rsid w:val="00BA22ED"/>
    <w:rsid w:val="00BA3346"/>
    <w:rsid w:val="00BA48D1"/>
    <w:rsid w:val="00BA4E78"/>
    <w:rsid w:val="00BB30E5"/>
    <w:rsid w:val="00BC3B7E"/>
    <w:rsid w:val="00BD5C50"/>
    <w:rsid w:val="00BD72D9"/>
    <w:rsid w:val="00BE0432"/>
    <w:rsid w:val="00BE47B1"/>
    <w:rsid w:val="00BE4CE5"/>
    <w:rsid w:val="00BF167C"/>
    <w:rsid w:val="00BF1E77"/>
    <w:rsid w:val="00BF6E61"/>
    <w:rsid w:val="00C055B5"/>
    <w:rsid w:val="00C11086"/>
    <w:rsid w:val="00C12DE3"/>
    <w:rsid w:val="00C12FA5"/>
    <w:rsid w:val="00C143A8"/>
    <w:rsid w:val="00C23F21"/>
    <w:rsid w:val="00C25447"/>
    <w:rsid w:val="00C302BD"/>
    <w:rsid w:val="00C37240"/>
    <w:rsid w:val="00C4047B"/>
    <w:rsid w:val="00C44238"/>
    <w:rsid w:val="00C467D8"/>
    <w:rsid w:val="00C52A10"/>
    <w:rsid w:val="00C551C7"/>
    <w:rsid w:val="00C56F76"/>
    <w:rsid w:val="00C57B9B"/>
    <w:rsid w:val="00C64480"/>
    <w:rsid w:val="00C70804"/>
    <w:rsid w:val="00C76B9F"/>
    <w:rsid w:val="00C77DA6"/>
    <w:rsid w:val="00C85296"/>
    <w:rsid w:val="00C85618"/>
    <w:rsid w:val="00C857A4"/>
    <w:rsid w:val="00C8711F"/>
    <w:rsid w:val="00C87B87"/>
    <w:rsid w:val="00C91645"/>
    <w:rsid w:val="00CA0AEF"/>
    <w:rsid w:val="00CA14C9"/>
    <w:rsid w:val="00CA3B82"/>
    <w:rsid w:val="00CB0B67"/>
    <w:rsid w:val="00CB204E"/>
    <w:rsid w:val="00CB535E"/>
    <w:rsid w:val="00CC0BC7"/>
    <w:rsid w:val="00CE495D"/>
    <w:rsid w:val="00CE55FD"/>
    <w:rsid w:val="00CE5E88"/>
    <w:rsid w:val="00CE72D4"/>
    <w:rsid w:val="00CF227E"/>
    <w:rsid w:val="00CF6B03"/>
    <w:rsid w:val="00CF7B45"/>
    <w:rsid w:val="00D00D62"/>
    <w:rsid w:val="00D01180"/>
    <w:rsid w:val="00D07174"/>
    <w:rsid w:val="00D07BAA"/>
    <w:rsid w:val="00D224EE"/>
    <w:rsid w:val="00D26B98"/>
    <w:rsid w:val="00D344F1"/>
    <w:rsid w:val="00D34D9D"/>
    <w:rsid w:val="00D37C22"/>
    <w:rsid w:val="00D50608"/>
    <w:rsid w:val="00D50FD1"/>
    <w:rsid w:val="00D51F00"/>
    <w:rsid w:val="00D53274"/>
    <w:rsid w:val="00D536C5"/>
    <w:rsid w:val="00D560FC"/>
    <w:rsid w:val="00D62882"/>
    <w:rsid w:val="00D6544E"/>
    <w:rsid w:val="00D71B56"/>
    <w:rsid w:val="00D741DD"/>
    <w:rsid w:val="00D768EE"/>
    <w:rsid w:val="00D779C4"/>
    <w:rsid w:val="00D84EDE"/>
    <w:rsid w:val="00D87061"/>
    <w:rsid w:val="00D90876"/>
    <w:rsid w:val="00D968E5"/>
    <w:rsid w:val="00DB05A5"/>
    <w:rsid w:val="00DB125E"/>
    <w:rsid w:val="00DB3C65"/>
    <w:rsid w:val="00DB7553"/>
    <w:rsid w:val="00DC0DE7"/>
    <w:rsid w:val="00DC16C2"/>
    <w:rsid w:val="00DC59F4"/>
    <w:rsid w:val="00DC6C79"/>
    <w:rsid w:val="00DC77ED"/>
    <w:rsid w:val="00DD4221"/>
    <w:rsid w:val="00DE0255"/>
    <w:rsid w:val="00DE37E7"/>
    <w:rsid w:val="00DF75A5"/>
    <w:rsid w:val="00E01FF2"/>
    <w:rsid w:val="00E04AA5"/>
    <w:rsid w:val="00E0641E"/>
    <w:rsid w:val="00E077CF"/>
    <w:rsid w:val="00E07F4F"/>
    <w:rsid w:val="00E10315"/>
    <w:rsid w:val="00E13B75"/>
    <w:rsid w:val="00E13F52"/>
    <w:rsid w:val="00E14A13"/>
    <w:rsid w:val="00E21921"/>
    <w:rsid w:val="00E3321F"/>
    <w:rsid w:val="00E36130"/>
    <w:rsid w:val="00E4430E"/>
    <w:rsid w:val="00E46C62"/>
    <w:rsid w:val="00E6522E"/>
    <w:rsid w:val="00E6670D"/>
    <w:rsid w:val="00E70935"/>
    <w:rsid w:val="00E80D75"/>
    <w:rsid w:val="00E84264"/>
    <w:rsid w:val="00E873F4"/>
    <w:rsid w:val="00E87B57"/>
    <w:rsid w:val="00E87DC6"/>
    <w:rsid w:val="00E94446"/>
    <w:rsid w:val="00E957B5"/>
    <w:rsid w:val="00EA039D"/>
    <w:rsid w:val="00EA0F1E"/>
    <w:rsid w:val="00EA2120"/>
    <w:rsid w:val="00EA6918"/>
    <w:rsid w:val="00EB72AD"/>
    <w:rsid w:val="00EC21DA"/>
    <w:rsid w:val="00EC445A"/>
    <w:rsid w:val="00EC45C8"/>
    <w:rsid w:val="00EC5E35"/>
    <w:rsid w:val="00EC66F1"/>
    <w:rsid w:val="00EC7B3F"/>
    <w:rsid w:val="00ED510A"/>
    <w:rsid w:val="00EE3A87"/>
    <w:rsid w:val="00EF1E86"/>
    <w:rsid w:val="00EF36B7"/>
    <w:rsid w:val="00EF4CED"/>
    <w:rsid w:val="00EF5435"/>
    <w:rsid w:val="00EF60BC"/>
    <w:rsid w:val="00EF6282"/>
    <w:rsid w:val="00F025A5"/>
    <w:rsid w:val="00F045F6"/>
    <w:rsid w:val="00F07C59"/>
    <w:rsid w:val="00F11E3D"/>
    <w:rsid w:val="00F1681B"/>
    <w:rsid w:val="00F20410"/>
    <w:rsid w:val="00F20AEA"/>
    <w:rsid w:val="00F20BEA"/>
    <w:rsid w:val="00F32C71"/>
    <w:rsid w:val="00F35872"/>
    <w:rsid w:val="00F374B8"/>
    <w:rsid w:val="00F416B5"/>
    <w:rsid w:val="00F42404"/>
    <w:rsid w:val="00F50686"/>
    <w:rsid w:val="00F54722"/>
    <w:rsid w:val="00F57F5E"/>
    <w:rsid w:val="00F60E74"/>
    <w:rsid w:val="00F61B12"/>
    <w:rsid w:val="00F641FD"/>
    <w:rsid w:val="00F64373"/>
    <w:rsid w:val="00F66CBB"/>
    <w:rsid w:val="00F67536"/>
    <w:rsid w:val="00F75DF1"/>
    <w:rsid w:val="00F923C5"/>
    <w:rsid w:val="00F92DAD"/>
    <w:rsid w:val="00F93565"/>
    <w:rsid w:val="00FA0D7D"/>
    <w:rsid w:val="00FA3784"/>
    <w:rsid w:val="00FB76BA"/>
    <w:rsid w:val="00FC4156"/>
    <w:rsid w:val="00FC5FC3"/>
    <w:rsid w:val="00FC7E9D"/>
    <w:rsid w:val="00FD1E28"/>
    <w:rsid w:val="00FD4606"/>
    <w:rsid w:val="00FD58BA"/>
    <w:rsid w:val="00FD76CD"/>
    <w:rsid w:val="00FE12F5"/>
    <w:rsid w:val="00FE69EE"/>
    <w:rsid w:val="00FE6AB9"/>
    <w:rsid w:val="00FF5555"/>
    <w:rsid w:val="00FF671D"/>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2FFFB"/>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3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46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7B6E63"/>
    <w:pPr>
      <w:ind w:left="720"/>
      <w:contextualSpacing/>
    </w:pPr>
  </w:style>
  <w:style w:type="paragraph" w:styleId="FootnoteText">
    <w:name w:val="footnote text"/>
    <w:basedOn w:val="Normal"/>
    <w:link w:val="FootnoteTextChar"/>
    <w:uiPriority w:val="99"/>
    <w:semiHidden/>
    <w:unhideWhenUsed/>
    <w:rsid w:val="003C6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E85"/>
    <w:rPr>
      <w:sz w:val="20"/>
      <w:szCs w:val="20"/>
    </w:rPr>
  </w:style>
  <w:style w:type="character" w:styleId="FootnoteReference">
    <w:name w:val="footnote reference"/>
    <w:basedOn w:val="DefaultParagraphFont"/>
    <w:uiPriority w:val="99"/>
    <w:semiHidden/>
    <w:unhideWhenUsed/>
    <w:rsid w:val="003C6E85"/>
    <w:rPr>
      <w:vertAlign w:val="superscript"/>
    </w:rPr>
  </w:style>
  <w:style w:type="character" w:styleId="Hyperlink">
    <w:name w:val="Hyperlink"/>
    <w:basedOn w:val="DefaultParagraphFont"/>
    <w:uiPriority w:val="99"/>
    <w:unhideWhenUsed/>
    <w:rsid w:val="003C6E85"/>
    <w:rPr>
      <w:color w:val="0563C1" w:themeColor="hyperlink"/>
      <w:u w:val="single"/>
    </w:rPr>
  </w:style>
  <w:style w:type="table" w:styleId="TableGrid">
    <w:name w:val="Table Grid"/>
    <w:basedOn w:val="TableNormal"/>
    <w:uiPriority w:val="39"/>
    <w:rsid w:val="0085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3B5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2B4F56"/>
  </w:style>
  <w:style w:type="paragraph" w:customStyle="1" w:styleId="Normal0">
    <w:name w:val="[Normal]"/>
    <w:uiPriority w:val="99"/>
    <w:rsid w:val="002B4F56"/>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Heading3Char">
    <w:name w:val="Heading 3 Char"/>
    <w:basedOn w:val="DefaultParagraphFont"/>
    <w:link w:val="Heading3"/>
    <w:uiPriority w:val="9"/>
    <w:rsid w:val="00A146F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11086"/>
    <w:pPr>
      <w:outlineLvl w:val="9"/>
    </w:pPr>
  </w:style>
  <w:style w:type="paragraph" w:styleId="TOC1">
    <w:name w:val="toc 1"/>
    <w:basedOn w:val="Normal"/>
    <w:next w:val="Normal"/>
    <w:autoRedefine/>
    <w:uiPriority w:val="39"/>
    <w:unhideWhenUsed/>
    <w:rsid w:val="00C11086"/>
    <w:pPr>
      <w:spacing w:after="100"/>
    </w:pPr>
  </w:style>
  <w:style w:type="paragraph" w:styleId="TOC2">
    <w:name w:val="toc 2"/>
    <w:basedOn w:val="Normal"/>
    <w:next w:val="Normal"/>
    <w:autoRedefine/>
    <w:uiPriority w:val="39"/>
    <w:unhideWhenUsed/>
    <w:rsid w:val="00C11086"/>
    <w:pPr>
      <w:spacing w:after="100"/>
      <w:ind w:left="220"/>
    </w:pPr>
  </w:style>
  <w:style w:type="paragraph" w:styleId="TOC3">
    <w:name w:val="toc 3"/>
    <w:basedOn w:val="Normal"/>
    <w:next w:val="Normal"/>
    <w:autoRedefine/>
    <w:uiPriority w:val="39"/>
    <w:unhideWhenUsed/>
    <w:rsid w:val="00C110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508178080">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62342933">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915742608">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of.ge/5355" TargetMode="External"/><Relationship Id="rId1" Type="http://schemas.openxmlformats.org/officeDocument/2006/relationships/hyperlink" Target="https://www.mof.ge/images/File/2020-monacemebi-mimartulebebi/13-07-2020/3.%20prognozebis%20shedareba%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8BE8-D877-4289-ACFD-5CF9FBC8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7807</Words>
  <Characters>44505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Yuri Gurgenidze</cp:lastModifiedBy>
  <cp:revision>2</cp:revision>
  <cp:lastPrinted>2020-12-15T13:43:00Z</cp:lastPrinted>
  <dcterms:created xsi:type="dcterms:W3CDTF">2021-01-12T09:59:00Z</dcterms:created>
  <dcterms:modified xsi:type="dcterms:W3CDTF">2021-01-12T09:59:00Z</dcterms:modified>
</cp:coreProperties>
</file>